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FE3" w:rsidRDefault="005A4FE3" w:rsidP="005A4FE3">
      <w:pPr>
        <w:spacing w:line="360" w:lineRule="auto"/>
        <w:jc w:val="both"/>
        <w:rPr>
          <w:rFonts w:ascii="Palatino Linotype" w:hAnsi="Palatino Linotype"/>
          <w:b/>
          <w:sz w:val="24"/>
          <w:szCs w:val="24"/>
        </w:rPr>
      </w:pPr>
      <w:r w:rsidRPr="00BB0BA5">
        <w:rPr>
          <w:rFonts w:ascii="Palatino Linotype" w:hAnsi="Palatino Linotype"/>
          <w:b/>
          <w:sz w:val="24"/>
          <w:szCs w:val="24"/>
        </w:rPr>
        <w:t>OPINIÓN PARTICULAR DEL COMISIONADO JOSÉ GUADALUPE LUNA HERNÁND</w:t>
      </w:r>
      <w:r w:rsidR="00F53C9F" w:rsidRPr="00BB0BA5">
        <w:rPr>
          <w:rFonts w:ascii="Palatino Linotype" w:hAnsi="Palatino Linotype"/>
          <w:b/>
          <w:sz w:val="24"/>
          <w:szCs w:val="24"/>
        </w:rPr>
        <w:t xml:space="preserve">EZ </w:t>
      </w:r>
      <w:r w:rsidR="00AA6E56">
        <w:rPr>
          <w:rFonts w:ascii="Palatino Linotype" w:hAnsi="Palatino Linotype"/>
          <w:b/>
          <w:sz w:val="24"/>
          <w:szCs w:val="24"/>
        </w:rPr>
        <w:t xml:space="preserve">EN EL RECURSO DE </w:t>
      </w:r>
      <w:r w:rsidR="00421259">
        <w:rPr>
          <w:rFonts w:ascii="Palatino Linotype" w:hAnsi="Palatino Linotype"/>
          <w:b/>
          <w:sz w:val="24"/>
          <w:szCs w:val="24"/>
        </w:rPr>
        <w:t>REVISIÓN 02536</w:t>
      </w:r>
      <w:r w:rsidR="00672EA2">
        <w:rPr>
          <w:rFonts w:ascii="Palatino Linotype" w:hAnsi="Palatino Linotype"/>
          <w:b/>
          <w:sz w:val="24"/>
          <w:szCs w:val="24"/>
        </w:rPr>
        <w:t>/INFOEM/IP/RR/2018</w:t>
      </w:r>
      <w:r w:rsidR="00DF2A07">
        <w:rPr>
          <w:rFonts w:ascii="Palatino Linotype" w:hAnsi="Palatino Linotype"/>
          <w:b/>
          <w:sz w:val="24"/>
          <w:szCs w:val="24"/>
        </w:rPr>
        <w:t>.</w:t>
      </w:r>
    </w:p>
    <w:p w:rsidR="00321D9F" w:rsidRPr="00BB0BA5" w:rsidRDefault="00321D9F" w:rsidP="005A4FE3">
      <w:pPr>
        <w:spacing w:line="360" w:lineRule="auto"/>
        <w:jc w:val="both"/>
        <w:rPr>
          <w:rFonts w:ascii="Palatino Linotype" w:hAnsi="Palatino Linotype"/>
          <w:b/>
          <w:sz w:val="24"/>
          <w:szCs w:val="24"/>
        </w:rPr>
      </w:pPr>
    </w:p>
    <w:p w:rsidR="005C12D7" w:rsidRDefault="005A4FE3" w:rsidP="005A4FE3">
      <w:pPr>
        <w:spacing w:line="360" w:lineRule="auto"/>
        <w:jc w:val="both"/>
        <w:rPr>
          <w:rFonts w:ascii="Palatino Linotype" w:hAnsi="Palatino Linotype"/>
          <w:sz w:val="24"/>
          <w:szCs w:val="24"/>
        </w:rPr>
      </w:pPr>
      <w:r w:rsidRPr="00BB0BA5">
        <w:rPr>
          <w:rFonts w:ascii="Palatino Linotype" w:hAnsi="Palatino Linotype"/>
          <w:b/>
          <w:sz w:val="24"/>
          <w:szCs w:val="24"/>
        </w:rPr>
        <w:t>Resumen de la opinión.</w:t>
      </w:r>
      <w:r w:rsidRPr="00BB0BA5">
        <w:rPr>
          <w:rFonts w:ascii="Palatino Linotype" w:hAnsi="Palatino Linotype"/>
          <w:sz w:val="24"/>
          <w:szCs w:val="24"/>
        </w:rPr>
        <w:t xml:space="preserve"> </w:t>
      </w:r>
      <w:r w:rsidR="00BD49E0">
        <w:rPr>
          <w:rFonts w:ascii="Palatino Linotype" w:hAnsi="Palatino Linotype"/>
          <w:sz w:val="24"/>
          <w:szCs w:val="24"/>
        </w:rPr>
        <w:t>Las solicitudes de información permiten que la información pública en control de los Sujetos Obligados se encuentre siempre ac</w:t>
      </w:r>
      <w:r w:rsidR="006978F4">
        <w:rPr>
          <w:rFonts w:ascii="Palatino Linotype" w:hAnsi="Palatino Linotype"/>
          <w:sz w:val="24"/>
          <w:szCs w:val="24"/>
        </w:rPr>
        <w:t xml:space="preserve">tualizada al exigir su consulta, sin embargo, es menester de los mismos, mantenerla actualizada. </w:t>
      </w:r>
    </w:p>
    <w:p w:rsidR="005C12D7" w:rsidRPr="00BB0BA5" w:rsidRDefault="005C12D7" w:rsidP="005A4FE3">
      <w:pPr>
        <w:spacing w:line="360" w:lineRule="auto"/>
        <w:jc w:val="both"/>
        <w:rPr>
          <w:rFonts w:ascii="Palatino Linotype" w:hAnsi="Palatino Linotype"/>
          <w:sz w:val="24"/>
          <w:szCs w:val="24"/>
        </w:rPr>
      </w:pPr>
    </w:p>
    <w:p w:rsidR="007C7C8A" w:rsidRPr="00321D9F" w:rsidRDefault="00321D9F" w:rsidP="00321D9F">
      <w:pPr>
        <w:pStyle w:val="TtulodeTDC"/>
        <w:spacing w:line="360" w:lineRule="auto"/>
        <w:jc w:val="center"/>
        <w:rPr>
          <w:rFonts w:ascii="Palatino Linotype" w:hAnsi="Palatino Linotype" w:cs="Arial"/>
          <w:b/>
          <w:color w:val="auto"/>
          <w:sz w:val="24"/>
          <w:szCs w:val="24"/>
        </w:rPr>
      </w:pPr>
      <w:r w:rsidRPr="00321D9F">
        <w:rPr>
          <w:rFonts w:ascii="Palatino Linotype" w:hAnsi="Palatino Linotype" w:cs="Arial"/>
          <w:b/>
          <w:color w:val="auto"/>
          <w:sz w:val="24"/>
          <w:szCs w:val="24"/>
        </w:rPr>
        <w:t>ÍNDICE</w:t>
      </w:r>
    </w:p>
    <w:p w:rsidR="00321D9F" w:rsidRPr="00321D9F" w:rsidRDefault="00321D9F" w:rsidP="00321D9F">
      <w:pPr>
        <w:rPr>
          <w:lang w:eastAsia="es-MX"/>
        </w:rPr>
      </w:pPr>
    </w:p>
    <w:sdt>
      <w:sdtPr>
        <w:rPr>
          <w:rFonts w:ascii="Palatino Linotype" w:hAnsi="Palatino Linotype"/>
          <w:sz w:val="24"/>
          <w:szCs w:val="24"/>
          <w:lang w:val="es-ES"/>
        </w:rPr>
        <w:id w:val="-1628690016"/>
        <w:docPartObj>
          <w:docPartGallery w:val="Table of Contents"/>
          <w:docPartUnique/>
        </w:docPartObj>
      </w:sdtPr>
      <w:sdtEndPr>
        <w:rPr>
          <w:b/>
          <w:bCs/>
        </w:rPr>
      </w:sdtEndPr>
      <w:sdtContent>
        <w:p w:rsidR="000A41E3" w:rsidRPr="000A41E3" w:rsidRDefault="001305C0">
          <w:pPr>
            <w:pStyle w:val="TDC1"/>
            <w:rPr>
              <w:rFonts w:ascii="Palatino Linotype" w:eastAsiaTheme="minorEastAsia" w:hAnsi="Palatino Linotype"/>
              <w:noProof/>
              <w:sz w:val="24"/>
              <w:szCs w:val="24"/>
              <w:lang w:eastAsia="es-MX"/>
            </w:rPr>
          </w:pPr>
          <w:r w:rsidRPr="00BB0BA5">
            <w:rPr>
              <w:rFonts w:ascii="Palatino Linotype" w:hAnsi="Palatino Linotype"/>
              <w:sz w:val="24"/>
              <w:szCs w:val="24"/>
            </w:rPr>
            <w:fldChar w:fldCharType="begin"/>
          </w:r>
          <w:r w:rsidRPr="00BB0BA5">
            <w:rPr>
              <w:rFonts w:ascii="Palatino Linotype" w:hAnsi="Palatino Linotype"/>
              <w:sz w:val="24"/>
              <w:szCs w:val="24"/>
            </w:rPr>
            <w:instrText xml:space="preserve"> TOC \o "1-3" \h \z \u </w:instrText>
          </w:r>
          <w:r w:rsidRPr="00BB0BA5">
            <w:rPr>
              <w:rFonts w:ascii="Palatino Linotype" w:hAnsi="Palatino Linotype"/>
              <w:sz w:val="24"/>
              <w:szCs w:val="24"/>
            </w:rPr>
            <w:fldChar w:fldCharType="separate"/>
          </w:r>
          <w:hyperlink w:anchor="_Toc524953354" w:history="1">
            <w:r w:rsidR="000A41E3" w:rsidRPr="000A41E3">
              <w:rPr>
                <w:rStyle w:val="Hipervnculo"/>
                <w:rFonts w:ascii="Palatino Linotype" w:hAnsi="Palatino Linotype"/>
                <w:b/>
                <w:noProof/>
                <w:sz w:val="24"/>
                <w:szCs w:val="24"/>
              </w:rPr>
              <w:t>I. Consideraciones Generales</w:t>
            </w:r>
            <w:r w:rsidR="000A41E3" w:rsidRPr="000A41E3">
              <w:rPr>
                <w:rFonts w:ascii="Palatino Linotype" w:hAnsi="Palatino Linotype"/>
                <w:noProof/>
                <w:webHidden/>
                <w:sz w:val="24"/>
                <w:szCs w:val="24"/>
              </w:rPr>
              <w:tab/>
            </w:r>
            <w:r w:rsidR="000A41E3" w:rsidRPr="000A41E3">
              <w:rPr>
                <w:rFonts w:ascii="Palatino Linotype" w:hAnsi="Palatino Linotype"/>
                <w:noProof/>
                <w:webHidden/>
                <w:sz w:val="24"/>
                <w:szCs w:val="24"/>
              </w:rPr>
              <w:fldChar w:fldCharType="begin"/>
            </w:r>
            <w:r w:rsidR="000A41E3" w:rsidRPr="000A41E3">
              <w:rPr>
                <w:rFonts w:ascii="Palatino Linotype" w:hAnsi="Palatino Linotype"/>
                <w:noProof/>
                <w:webHidden/>
                <w:sz w:val="24"/>
                <w:szCs w:val="24"/>
              </w:rPr>
              <w:instrText xml:space="preserve"> PAGEREF _Toc524953354 \h </w:instrText>
            </w:r>
            <w:r w:rsidR="000A41E3" w:rsidRPr="000A41E3">
              <w:rPr>
                <w:rFonts w:ascii="Palatino Linotype" w:hAnsi="Palatino Linotype"/>
                <w:noProof/>
                <w:webHidden/>
                <w:sz w:val="24"/>
                <w:szCs w:val="24"/>
              </w:rPr>
            </w:r>
            <w:r w:rsidR="000A41E3" w:rsidRPr="000A41E3">
              <w:rPr>
                <w:rFonts w:ascii="Palatino Linotype" w:hAnsi="Palatino Linotype"/>
                <w:noProof/>
                <w:webHidden/>
                <w:sz w:val="24"/>
                <w:szCs w:val="24"/>
              </w:rPr>
              <w:fldChar w:fldCharType="separate"/>
            </w:r>
            <w:r w:rsidR="000A41E3" w:rsidRPr="000A41E3">
              <w:rPr>
                <w:rFonts w:ascii="Palatino Linotype" w:hAnsi="Palatino Linotype"/>
                <w:noProof/>
                <w:webHidden/>
                <w:sz w:val="24"/>
                <w:szCs w:val="24"/>
              </w:rPr>
              <w:t>3</w:t>
            </w:r>
            <w:r w:rsidR="000A41E3" w:rsidRPr="000A41E3">
              <w:rPr>
                <w:rFonts w:ascii="Palatino Linotype" w:hAnsi="Palatino Linotype"/>
                <w:noProof/>
                <w:webHidden/>
                <w:sz w:val="24"/>
                <w:szCs w:val="24"/>
              </w:rPr>
              <w:fldChar w:fldCharType="end"/>
            </w:r>
          </w:hyperlink>
        </w:p>
        <w:p w:rsidR="000A41E3" w:rsidRPr="000A41E3" w:rsidRDefault="000D4B17">
          <w:pPr>
            <w:pStyle w:val="TDC1"/>
            <w:rPr>
              <w:rFonts w:ascii="Palatino Linotype" w:eastAsiaTheme="minorEastAsia" w:hAnsi="Palatino Linotype"/>
              <w:noProof/>
              <w:sz w:val="24"/>
              <w:szCs w:val="24"/>
              <w:lang w:eastAsia="es-MX"/>
            </w:rPr>
          </w:pPr>
          <w:hyperlink w:anchor="_Toc524953355" w:history="1">
            <w:r w:rsidR="000A41E3" w:rsidRPr="000A41E3">
              <w:rPr>
                <w:rStyle w:val="Hipervnculo"/>
                <w:rFonts w:ascii="Palatino Linotype" w:hAnsi="Palatino Linotype"/>
                <w:b/>
                <w:noProof/>
                <w:sz w:val="24"/>
                <w:szCs w:val="24"/>
              </w:rPr>
              <w:t>II. Antecedentes que dieron origen a la presente Opinión Particular.</w:t>
            </w:r>
            <w:r w:rsidR="000A41E3" w:rsidRPr="000A41E3">
              <w:rPr>
                <w:rFonts w:ascii="Palatino Linotype" w:hAnsi="Palatino Linotype"/>
                <w:noProof/>
                <w:webHidden/>
                <w:sz w:val="24"/>
                <w:szCs w:val="24"/>
              </w:rPr>
              <w:tab/>
            </w:r>
            <w:r w:rsidR="000A41E3" w:rsidRPr="000A41E3">
              <w:rPr>
                <w:rFonts w:ascii="Palatino Linotype" w:hAnsi="Palatino Linotype"/>
                <w:noProof/>
                <w:webHidden/>
                <w:sz w:val="24"/>
                <w:szCs w:val="24"/>
              </w:rPr>
              <w:fldChar w:fldCharType="begin"/>
            </w:r>
            <w:r w:rsidR="000A41E3" w:rsidRPr="000A41E3">
              <w:rPr>
                <w:rFonts w:ascii="Palatino Linotype" w:hAnsi="Palatino Linotype"/>
                <w:noProof/>
                <w:webHidden/>
                <w:sz w:val="24"/>
                <w:szCs w:val="24"/>
              </w:rPr>
              <w:instrText xml:space="preserve"> PAGEREF _Toc524953355 \h </w:instrText>
            </w:r>
            <w:r w:rsidR="000A41E3" w:rsidRPr="000A41E3">
              <w:rPr>
                <w:rFonts w:ascii="Palatino Linotype" w:hAnsi="Palatino Linotype"/>
                <w:noProof/>
                <w:webHidden/>
                <w:sz w:val="24"/>
                <w:szCs w:val="24"/>
              </w:rPr>
            </w:r>
            <w:r w:rsidR="000A41E3" w:rsidRPr="000A41E3">
              <w:rPr>
                <w:rFonts w:ascii="Palatino Linotype" w:hAnsi="Palatino Linotype"/>
                <w:noProof/>
                <w:webHidden/>
                <w:sz w:val="24"/>
                <w:szCs w:val="24"/>
              </w:rPr>
              <w:fldChar w:fldCharType="separate"/>
            </w:r>
            <w:r w:rsidR="000A41E3" w:rsidRPr="000A41E3">
              <w:rPr>
                <w:rFonts w:ascii="Palatino Linotype" w:hAnsi="Palatino Linotype"/>
                <w:noProof/>
                <w:webHidden/>
                <w:sz w:val="24"/>
                <w:szCs w:val="24"/>
              </w:rPr>
              <w:t>4</w:t>
            </w:r>
            <w:r w:rsidR="000A41E3" w:rsidRPr="000A41E3">
              <w:rPr>
                <w:rFonts w:ascii="Palatino Linotype" w:hAnsi="Palatino Linotype"/>
                <w:noProof/>
                <w:webHidden/>
                <w:sz w:val="24"/>
                <w:szCs w:val="24"/>
              </w:rPr>
              <w:fldChar w:fldCharType="end"/>
            </w:r>
          </w:hyperlink>
        </w:p>
        <w:p w:rsidR="000A41E3" w:rsidRPr="000A41E3" w:rsidRDefault="000D4B17">
          <w:pPr>
            <w:pStyle w:val="TDC1"/>
            <w:rPr>
              <w:rFonts w:ascii="Palatino Linotype" w:eastAsiaTheme="minorEastAsia" w:hAnsi="Palatino Linotype"/>
              <w:noProof/>
              <w:sz w:val="24"/>
              <w:szCs w:val="24"/>
              <w:lang w:eastAsia="es-MX"/>
            </w:rPr>
          </w:pPr>
          <w:hyperlink w:anchor="_Toc524953356" w:history="1">
            <w:r w:rsidR="000A41E3" w:rsidRPr="000A41E3">
              <w:rPr>
                <w:rStyle w:val="Hipervnculo"/>
                <w:rFonts w:ascii="Palatino Linotype" w:hAnsi="Palatino Linotype"/>
                <w:b/>
                <w:noProof/>
                <w:sz w:val="24"/>
                <w:szCs w:val="24"/>
              </w:rPr>
              <w:t>III. La oportunidad de corregir errores inmersos en las bases de información de los Sujetos Obligados gracias a solicitudes de acceso a la información promovidas por la ciudadanía.</w:t>
            </w:r>
            <w:r w:rsidR="000A41E3" w:rsidRPr="000A41E3">
              <w:rPr>
                <w:rFonts w:ascii="Palatino Linotype" w:hAnsi="Palatino Linotype"/>
                <w:noProof/>
                <w:webHidden/>
                <w:sz w:val="24"/>
                <w:szCs w:val="24"/>
              </w:rPr>
              <w:tab/>
            </w:r>
            <w:r w:rsidR="000A41E3" w:rsidRPr="000A41E3">
              <w:rPr>
                <w:rFonts w:ascii="Palatino Linotype" w:hAnsi="Palatino Linotype"/>
                <w:noProof/>
                <w:webHidden/>
                <w:sz w:val="24"/>
                <w:szCs w:val="24"/>
              </w:rPr>
              <w:fldChar w:fldCharType="begin"/>
            </w:r>
            <w:r w:rsidR="000A41E3" w:rsidRPr="000A41E3">
              <w:rPr>
                <w:rFonts w:ascii="Palatino Linotype" w:hAnsi="Palatino Linotype"/>
                <w:noProof/>
                <w:webHidden/>
                <w:sz w:val="24"/>
                <w:szCs w:val="24"/>
              </w:rPr>
              <w:instrText xml:space="preserve"> PAGEREF _Toc524953356 \h </w:instrText>
            </w:r>
            <w:r w:rsidR="000A41E3" w:rsidRPr="000A41E3">
              <w:rPr>
                <w:rFonts w:ascii="Palatino Linotype" w:hAnsi="Palatino Linotype"/>
                <w:noProof/>
                <w:webHidden/>
                <w:sz w:val="24"/>
                <w:szCs w:val="24"/>
              </w:rPr>
            </w:r>
            <w:r w:rsidR="000A41E3" w:rsidRPr="000A41E3">
              <w:rPr>
                <w:rFonts w:ascii="Palatino Linotype" w:hAnsi="Palatino Linotype"/>
                <w:noProof/>
                <w:webHidden/>
                <w:sz w:val="24"/>
                <w:szCs w:val="24"/>
              </w:rPr>
              <w:fldChar w:fldCharType="separate"/>
            </w:r>
            <w:r w:rsidR="000A41E3" w:rsidRPr="000A41E3">
              <w:rPr>
                <w:rFonts w:ascii="Palatino Linotype" w:hAnsi="Palatino Linotype"/>
                <w:noProof/>
                <w:webHidden/>
                <w:sz w:val="24"/>
                <w:szCs w:val="24"/>
              </w:rPr>
              <w:t>8</w:t>
            </w:r>
            <w:r w:rsidR="000A41E3" w:rsidRPr="000A41E3">
              <w:rPr>
                <w:rFonts w:ascii="Palatino Linotype" w:hAnsi="Palatino Linotype"/>
                <w:noProof/>
                <w:webHidden/>
                <w:sz w:val="24"/>
                <w:szCs w:val="24"/>
              </w:rPr>
              <w:fldChar w:fldCharType="end"/>
            </w:r>
          </w:hyperlink>
        </w:p>
        <w:p w:rsidR="000A41E3" w:rsidRPr="000A41E3" w:rsidRDefault="000D4B17">
          <w:pPr>
            <w:pStyle w:val="TDC1"/>
            <w:rPr>
              <w:rFonts w:ascii="Palatino Linotype" w:eastAsiaTheme="minorEastAsia" w:hAnsi="Palatino Linotype"/>
              <w:noProof/>
              <w:sz w:val="24"/>
              <w:szCs w:val="24"/>
              <w:lang w:eastAsia="es-MX"/>
            </w:rPr>
          </w:pPr>
          <w:hyperlink w:anchor="_Toc524953357" w:history="1">
            <w:r w:rsidR="000A41E3" w:rsidRPr="000A41E3">
              <w:rPr>
                <w:rStyle w:val="Hipervnculo"/>
                <w:rFonts w:ascii="Palatino Linotype" w:hAnsi="Palatino Linotype"/>
                <w:b/>
                <w:noProof/>
                <w:sz w:val="24"/>
                <w:szCs w:val="24"/>
              </w:rPr>
              <w:t>IV. El derecho de acceso a la información pública.</w:t>
            </w:r>
            <w:r w:rsidR="000A41E3" w:rsidRPr="000A41E3">
              <w:rPr>
                <w:rFonts w:ascii="Palatino Linotype" w:hAnsi="Palatino Linotype"/>
                <w:noProof/>
                <w:webHidden/>
                <w:sz w:val="24"/>
                <w:szCs w:val="24"/>
              </w:rPr>
              <w:tab/>
            </w:r>
            <w:r w:rsidR="000A41E3" w:rsidRPr="000A41E3">
              <w:rPr>
                <w:rFonts w:ascii="Palatino Linotype" w:hAnsi="Palatino Linotype"/>
                <w:noProof/>
                <w:webHidden/>
                <w:sz w:val="24"/>
                <w:szCs w:val="24"/>
              </w:rPr>
              <w:fldChar w:fldCharType="begin"/>
            </w:r>
            <w:r w:rsidR="000A41E3" w:rsidRPr="000A41E3">
              <w:rPr>
                <w:rFonts w:ascii="Palatino Linotype" w:hAnsi="Palatino Linotype"/>
                <w:noProof/>
                <w:webHidden/>
                <w:sz w:val="24"/>
                <w:szCs w:val="24"/>
              </w:rPr>
              <w:instrText xml:space="preserve"> PAGEREF _Toc524953357 \h </w:instrText>
            </w:r>
            <w:r w:rsidR="000A41E3" w:rsidRPr="000A41E3">
              <w:rPr>
                <w:rFonts w:ascii="Palatino Linotype" w:hAnsi="Palatino Linotype"/>
                <w:noProof/>
                <w:webHidden/>
                <w:sz w:val="24"/>
                <w:szCs w:val="24"/>
              </w:rPr>
            </w:r>
            <w:r w:rsidR="000A41E3" w:rsidRPr="000A41E3">
              <w:rPr>
                <w:rFonts w:ascii="Palatino Linotype" w:hAnsi="Palatino Linotype"/>
                <w:noProof/>
                <w:webHidden/>
                <w:sz w:val="24"/>
                <w:szCs w:val="24"/>
              </w:rPr>
              <w:fldChar w:fldCharType="separate"/>
            </w:r>
            <w:r w:rsidR="000A41E3" w:rsidRPr="000A41E3">
              <w:rPr>
                <w:rFonts w:ascii="Palatino Linotype" w:hAnsi="Palatino Linotype"/>
                <w:noProof/>
                <w:webHidden/>
                <w:sz w:val="24"/>
                <w:szCs w:val="24"/>
              </w:rPr>
              <w:t>9</w:t>
            </w:r>
            <w:r w:rsidR="000A41E3" w:rsidRPr="000A41E3">
              <w:rPr>
                <w:rFonts w:ascii="Palatino Linotype" w:hAnsi="Palatino Linotype"/>
                <w:noProof/>
                <w:webHidden/>
                <w:sz w:val="24"/>
                <w:szCs w:val="24"/>
              </w:rPr>
              <w:fldChar w:fldCharType="end"/>
            </w:r>
          </w:hyperlink>
        </w:p>
        <w:p w:rsidR="000A41E3" w:rsidRPr="000A41E3" w:rsidRDefault="000D4B17">
          <w:pPr>
            <w:pStyle w:val="TDC1"/>
            <w:rPr>
              <w:rFonts w:ascii="Palatino Linotype" w:eastAsiaTheme="minorEastAsia" w:hAnsi="Palatino Linotype"/>
              <w:noProof/>
              <w:sz w:val="24"/>
              <w:szCs w:val="24"/>
              <w:lang w:eastAsia="es-MX"/>
            </w:rPr>
          </w:pPr>
          <w:hyperlink w:anchor="_Toc524953358" w:history="1">
            <w:r w:rsidR="000A41E3" w:rsidRPr="000A41E3">
              <w:rPr>
                <w:rStyle w:val="Hipervnculo"/>
                <w:rFonts w:ascii="Palatino Linotype" w:hAnsi="Palatino Linotype"/>
                <w:b/>
                <w:noProof/>
                <w:sz w:val="24"/>
                <w:szCs w:val="24"/>
              </w:rPr>
              <w:t>V. Las garantías primarias del derecho de acceso a la información pública.</w:t>
            </w:r>
            <w:r w:rsidR="000A41E3" w:rsidRPr="000A41E3">
              <w:rPr>
                <w:rFonts w:ascii="Palatino Linotype" w:hAnsi="Palatino Linotype"/>
                <w:noProof/>
                <w:webHidden/>
                <w:sz w:val="24"/>
                <w:szCs w:val="24"/>
              </w:rPr>
              <w:tab/>
            </w:r>
            <w:r w:rsidR="000A41E3" w:rsidRPr="000A41E3">
              <w:rPr>
                <w:rFonts w:ascii="Palatino Linotype" w:hAnsi="Palatino Linotype"/>
                <w:noProof/>
                <w:webHidden/>
                <w:sz w:val="24"/>
                <w:szCs w:val="24"/>
              </w:rPr>
              <w:fldChar w:fldCharType="begin"/>
            </w:r>
            <w:r w:rsidR="000A41E3" w:rsidRPr="000A41E3">
              <w:rPr>
                <w:rFonts w:ascii="Palatino Linotype" w:hAnsi="Palatino Linotype"/>
                <w:noProof/>
                <w:webHidden/>
                <w:sz w:val="24"/>
                <w:szCs w:val="24"/>
              </w:rPr>
              <w:instrText xml:space="preserve"> PAGEREF _Toc524953358 \h </w:instrText>
            </w:r>
            <w:r w:rsidR="000A41E3" w:rsidRPr="000A41E3">
              <w:rPr>
                <w:rFonts w:ascii="Palatino Linotype" w:hAnsi="Palatino Linotype"/>
                <w:noProof/>
                <w:webHidden/>
                <w:sz w:val="24"/>
                <w:szCs w:val="24"/>
              </w:rPr>
            </w:r>
            <w:r w:rsidR="000A41E3" w:rsidRPr="000A41E3">
              <w:rPr>
                <w:rFonts w:ascii="Palatino Linotype" w:hAnsi="Palatino Linotype"/>
                <w:noProof/>
                <w:webHidden/>
                <w:sz w:val="24"/>
                <w:szCs w:val="24"/>
              </w:rPr>
              <w:fldChar w:fldCharType="separate"/>
            </w:r>
            <w:r w:rsidR="000A41E3" w:rsidRPr="000A41E3">
              <w:rPr>
                <w:rFonts w:ascii="Palatino Linotype" w:hAnsi="Palatino Linotype"/>
                <w:noProof/>
                <w:webHidden/>
                <w:sz w:val="24"/>
                <w:szCs w:val="24"/>
              </w:rPr>
              <w:t>11</w:t>
            </w:r>
            <w:r w:rsidR="000A41E3" w:rsidRPr="000A41E3">
              <w:rPr>
                <w:rFonts w:ascii="Palatino Linotype" w:hAnsi="Palatino Linotype"/>
                <w:noProof/>
                <w:webHidden/>
                <w:sz w:val="24"/>
                <w:szCs w:val="24"/>
              </w:rPr>
              <w:fldChar w:fldCharType="end"/>
            </w:r>
          </w:hyperlink>
        </w:p>
        <w:p w:rsidR="000A41E3" w:rsidRPr="000A41E3" w:rsidRDefault="000D4B17">
          <w:pPr>
            <w:pStyle w:val="TDC1"/>
            <w:rPr>
              <w:rFonts w:ascii="Palatino Linotype" w:eastAsiaTheme="minorEastAsia" w:hAnsi="Palatino Linotype"/>
              <w:noProof/>
              <w:sz w:val="24"/>
              <w:szCs w:val="24"/>
              <w:lang w:eastAsia="es-MX"/>
            </w:rPr>
          </w:pPr>
          <w:hyperlink w:anchor="_Toc524953359" w:history="1">
            <w:r w:rsidR="000A41E3" w:rsidRPr="000A41E3">
              <w:rPr>
                <w:rStyle w:val="Hipervnculo"/>
                <w:rFonts w:ascii="Palatino Linotype" w:hAnsi="Palatino Linotype"/>
                <w:b/>
                <w:noProof/>
                <w:sz w:val="24"/>
                <w:szCs w:val="24"/>
              </w:rPr>
              <w:t>VI. La garantía secundaria del derecho de acceso a la información pública.</w:t>
            </w:r>
            <w:r w:rsidR="000A41E3" w:rsidRPr="000A41E3">
              <w:rPr>
                <w:rFonts w:ascii="Palatino Linotype" w:hAnsi="Palatino Linotype"/>
                <w:noProof/>
                <w:webHidden/>
                <w:sz w:val="24"/>
                <w:szCs w:val="24"/>
              </w:rPr>
              <w:tab/>
            </w:r>
            <w:r w:rsidR="000A41E3" w:rsidRPr="000A41E3">
              <w:rPr>
                <w:rFonts w:ascii="Palatino Linotype" w:hAnsi="Palatino Linotype"/>
                <w:noProof/>
                <w:webHidden/>
                <w:sz w:val="24"/>
                <w:szCs w:val="24"/>
              </w:rPr>
              <w:fldChar w:fldCharType="begin"/>
            </w:r>
            <w:r w:rsidR="000A41E3" w:rsidRPr="000A41E3">
              <w:rPr>
                <w:rFonts w:ascii="Palatino Linotype" w:hAnsi="Palatino Linotype"/>
                <w:noProof/>
                <w:webHidden/>
                <w:sz w:val="24"/>
                <w:szCs w:val="24"/>
              </w:rPr>
              <w:instrText xml:space="preserve"> PAGEREF _Toc524953359 \h </w:instrText>
            </w:r>
            <w:r w:rsidR="000A41E3" w:rsidRPr="000A41E3">
              <w:rPr>
                <w:rFonts w:ascii="Palatino Linotype" w:hAnsi="Palatino Linotype"/>
                <w:noProof/>
                <w:webHidden/>
                <w:sz w:val="24"/>
                <w:szCs w:val="24"/>
              </w:rPr>
            </w:r>
            <w:r w:rsidR="000A41E3" w:rsidRPr="000A41E3">
              <w:rPr>
                <w:rFonts w:ascii="Palatino Linotype" w:hAnsi="Palatino Linotype"/>
                <w:noProof/>
                <w:webHidden/>
                <w:sz w:val="24"/>
                <w:szCs w:val="24"/>
              </w:rPr>
              <w:fldChar w:fldCharType="separate"/>
            </w:r>
            <w:r w:rsidR="000A41E3" w:rsidRPr="000A41E3">
              <w:rPr>
                <w:rFonts w:ascii="Palatino Linotype" w:hAnsi="Palatino Linotype"/>
                <w:noProof/>
                <w:webHidden/>
                <w:sz w:val="24"/>
                <w:szCs w:val="24"/>
              </w:rPr>
              <w:t>12</w:t>
            </w:r>
            <w:r w:rsidR="000A41E3" w:rsidRPr="000A41E3">
              <w:rPr>
                <w:rFonts w:ascii="Palatino Linotype" w:hAnsi="Palatino Linotype"/>
                <w:noProof/>
                <w:webHidden/>
                <w:sz w:val="24"/>
                <w:szCs w:val="24"/>
              </w:rPr>
              <w:fldChar w:fldCharType="end"/>
            </w:r>
          </w:hyperlink>
        </w:p>
        <w:p w:rsidR="000A41E3" w:rsidRPr="000A41E3" w:rsidRDefault="000D4B17">
          <w:pPr>
            <w:pStyle w:val="TDC1"/>
            <w:rPr>
              <w:rFonts w:ascii="Palatino Linotype" w:eastAsiaTheme="minorEastAsia" w:hAnsi="Palatino Linotype"/>
              <w:noProof/>
              <w:sz w:val="24"/>
              <w:szCs w:val="24"/>
              <w:lang w:eastAsia="es-MX"/>
            </w:rPr>
          </w:pPr>
          <w:hyperlink w:anchor="_Toc524953360" w:history="1">
            <w:r w:rsidR="000A41E3" w:rsidRPr="000A41E3">
              <w:rPr>
                <w:rStyle w:val="Hipervnculo"/>
                <w:rFonts w:ascii="Palatino Linotype" w:hAnsi="Palatino Linotype"/>
                <w:b/>
                <w:noProof/>
                <w:sz w:val="24"/>
                <w:szCs w:val="24"/>
              </w:rPr>
              <w:t>VII. Consecuencias de la violación al derecho humano.</w:t>
            </w:r>
            <w:r w:rsidR="000A41E3" w:rsidRPr="000A41E3">
              <w:rPr>
                <w:rFonts w:ascii="Palatino Linotype" w:hAnsi="Palatino Linotype"/>
                <w:noProof/>
                <w:webHidden/>
                <w:sz w:val="24"/>
                <w:szCs w:val="24"/>
              </w:rPr>
              <w:tab/>
            </w:r>
            <w:r w:rsidR="000A41E3" w:rsidRPr="000A41E3">
              <w:rPr>
                <w:rFonts w:ascii="Palatino Linotype" w:hAnsi="Palatino Linotype"/>
                <w:noProof/>
                <w:webHidden/>
                <w:sz w:val="24"/>
                <w:szCs w:val="24"/>
              </w:rPr>
              <w:fldChar w:fldCharType="begin"/>
            </w:r>
            <w:r w:rsidR="000A41E3" w:rsidRPr="000A41E3">
              <w:rPr>
                <w:rFonts w:ascii="Palatino Linotype" w:hAnsi="Palatino Linotype"/>
                <w:noProof/>
                <w:webHidden/>
                <w:sz w:val="24"/>
                <w:szCs w:val="24"/>
              </w:rPr>
              <w:instrText xml:space="preserve"> PAGEREF _Toc524953360 \h </w:instrText>
            </w:r>
            <w:r w:rsidR="000A41E3" w:rsidRPr="000A41E3">
              <w:rPr>
                <w:rFonts w:ascii="Palatino Linotype" w:hAnsi="Palatino Linotype"/>
                <w:noProof/>
                <w:webHidden/>
                <w:sz w:val="24"/>
                <w:szCs w:val="24"/>
              </w:rPr>
            </w:r>
            <w:r w:rsidR="000A41E3" w:rsidRPr="000A41E3">
              <w:rPr>
                <w:rFonts w:ascii="Palatino Linotype" w:hAnsi="Palatino Linotype"/>
                <w:noProof/>
                <w:webHidden/>
                <w:sz w:val="24"/>
                <w:szCs w:val="24"/>
              </w:rPr>
              <w:fldChar w:fldCharType="separate"/>
            </w:r>
            <w:r w:rsidR="000A41E3" w:rsidRPr="000A41E3">
              <w:rPr>
                <w:rFonts w:ascii="Palatino Linotype" w:hAnsi="Palatino Linotype"/>
                <w:noProof/>
                <w:webHidden/>
                <w:sz w:val="24"/>
                <w:szCs w:val="24"/>
              </w:rPr>
              <w:t>14</w:t>
            </w:r>
            <w:r w:rsidR="000A41E3" w:rsidRPr="000A41E3">
              <w:rPr>
                <w:rFonts w:ascii="Palatino Linotype" w:hAnsi="Palatino Linotype"/>
                <w:noProof/>
                <w:webHidden/>
                <w:sz w:val="24"/>
                <w:szCs w:val="24"/>
              </w:rPr>
              <w:fldChar w:fldCharType="end"/>
            </w:r>
          </w:hyperlink>
        </w:p>
        <w:p w:rsidR="000A41E3" w:rsidRPr="000A41E3" w:rsidRDefault="000D4B17">
          <w:pPr>
            <w:pStyle w:val="TDC1"/>
            <w:rPr>
              <w:rFonts w:ascii="Palatino Linotype" w:eastAsiaTheme="minorEastAsia" w:hAnsi="Palatino Linotype"/>
              <w:noProof/>
              <w:sz w:val="24"/>
              <w:szCs w:val="24"/>
              <w:lang w:eastAsia="es-MX"/>
            </w:rPr>
          </w:pPr>
          <w:hyperlink w:anchor="_Toc524953361" w:history="1">
            <w:r w:rsidR="000A41E3" w:rsidRPr="000A41E3">
              <w:rPr>
                <w:rStyle w:val="Hipervnculo"/>
                <w:rFonts w:ascii="Palatino Linotype" w:hAnsi="Palatino Linotype"/>
                <w:b/>
                <w:noProof/>
                <w:sz w:val="24"/>
                <w:szCs w:val="24"/>
              </w:rPr>
              <w:t>Conclusiones.</w:t>
            </w:r>
            <w:r w:rsidR="000A41E3" w:rsidRPr="000A41E3">
              <w:rPr>
                <w:rFonts w:ascii="Palatino Linotype" w:hAnsi="Palatino Linotype"/>
                <w:noProof/>
                <w:webHidden/>
                <w:sz w:val="24"/>
                <w:szCs w:val="24"/>
              </w:rPr>
              <w:tab/>
            </w:r>
            <w:r w:rsidR="000A41E3" w:rsidRPr="000A41E3">
              <w:rPr>
                <w:rFonts w:ascii="Palatino Linotype" w:hAnsi="Palatino Linotype"/>
                <w:noProof/>
                <w:webHidden/>
                <w:sz w:val="24"/>
                <w:szCs w:val="24"/>
              </w:rPr>
              <w:fldChar w:fldCharType="begin"/>
            </w:r>
            <w:r w:rsidR="000A41E3" w:rsidRPr="000A41E3">
              <w:rPr>
                <w:rFonts w:ascii="Palatino Linotype" w:hAnsi="Palatino Linotype"/>
                <w:noProof/>
                <w:webHidden/>
                <w:sz w:val="24"/>
                <w:szCs w:val="24"/>
              </w:rPr>
              <w:instrText xml:space="preserve"> PAGEREF _Toc524953361 \h </w:instrText>
            </w:r>
            <w:r w:rsidR="000A41E3" w:rsidRPr="000A41E3">
              <w:rPr>
                <w:rFonts w:ascii="Palatino Linotype" w:hAnsi="Palatino Linotype"/>
                <w:noProof/>
                <w:webHidden/>
                <w:sz w:val="24"/>
                <w:szCs w:val="24"/>
              </w:rPr>
            </w:r>
            <w:r w:rsidR="000A41E3" w:rsidRPr="000A41E3">
              <w:rPr>
                <w:rFonts w:ascii="Palatino Linotype" w:hAnsi="Palatino Linotype"/>
                <w:noProof/>
                <w:webHidden/>
                <w:sz w:val="24"/>
                <w:szCs w:val="24"/>
              </w:rPr>
              <w:fldChar w:fldCharType="separate"/>
            </w:r>
            <w:r w:rsidR="000A41E3" w:rsidRPr="000A41E3">
              <w:rPr>
                <w:rFonts w:ascii="Palatino Linotype" w:hAnsi="Palatino Linotype"/>
                <w:noProof/>
                <w:webHidden/>
                <w:sz w:val="24"/>
                <w:szCs w:val="24"/>
              </w:rPr>
              <w:t>16</w:t>
            </w:r>
            <w:r w:rsidR="000A41E3" w:rsidRPr="000A41E3">
              <w:rPr>
                <w:rFonts w:ascii="Palatino Linotype" w:hAnsi="Palatino Linotype"/>
                <w:noProof/>
                <w:webHidden/>
                <w:sz w:val="24"/>
                <w:szCs w:val="24"/>
              </w:rPr>
              <w:fldChar w:fldCharType="end"/>
            </w:r>
          </w:hyperlink>
        </w:p>
        <w:p w:rsidR="00594D8C" w:rsidRPr="00421259" w:rsidRDefault="001305C0" w:rsidP="00421259">
          <w:pPr>
            <w:spacing w:line="360" w:lineRule="auto"/>
            <w:rPr>
              <w:rFonts w:ascii="Palatino Linotype" w:hAnsi="Palatino Linotype"/>
              <w:sz w:val="24"/>
              <w:szCs w:val="24"/>
            </w:rPr>
          </w:pPr>
          <w:r w:rsidRPr="00BB0BA5">
            <w:rPr>
              <w:rFonts w:ascii="Palatino Linotype" w:hAnsi="Palatino Linotype"/>
              <w:b/>
              <w:bCs/>
              <w:sz w:val="24"/>
              <w:szCs w:val="24"/>
              <w:lang w:val="es-ES"/>
            </w:rPr>
            <w:lastRenderedPageBreak/>
            <w:fldChar w:fldCharType="end"/>
          </w:r>
        </w:p>
      </w:sdtContent>
    </w:sdt>
    <w:p w:rsidR="00B35DFF" w:rsidRPr="00BB0BA5" w:rsidRDefault="001B72BB" w:rsidP="001B72BB">
      <w:pPr>
        <w:pStyle w:val="Ttulo1"/>
        <w:rPr>
          <w:rFonts w:ascii="Palatino Linotype" w:hAnsi="Palatino Linotype"/>
          <w:b/>
          <w:color w:val="auto"/>
          <w:sz w:val="24"/>
        </w:rPr>
      </w:pPr>
      <w:bookmarkStart w:id="0" w:name="_Toc524953354"/>
      <w:r>
        <w:rPr>
          <w:rFonts w:ascii="Palatino Linotype" w:hAnsi="Palatino Linotype"/>
          <w:b/>
          <w:color w:val="auto"/>
          <w:sz w:val="24"/>
        </w:rPr>
        <w:t xml:space="preserve">I. </w:t>
      </w:r>
      <w:r w:rsidR="00B35DFF" w:rsidRPr="00BB0BA5">
        <w:rPr>
          <w:rFonts w:ascii="Palatino Linotype" w:hAnsi="Palatino Linotype"/>
          <w:b/>
          <w:color w:val="auto"/>
          <w:sz w:val="24"/>
        </w:rPr>
        <w:t>Consideraciones Generales</w:t>
      </w:r>
      <w:bookmarkEnd w:id="0"/>
    </w:p>
    <w:p w:rsidR="00B35DFF" w:rsidRPr="00BB0BA5" w:rsidRDefault="00B35DFF" w:rsidP="00B35DFF">
      <w:pPr>
        <w:pStyle w:val="Prrafodelista"/>
        <w:spacing w:line="360" w:lineRule="auto"/>
        <w:ind w:left="1080"/>
        <w:jc w:val="both"/>
        <w:rPr>
          <w:rFonts w:ascii="Palatino Linotype" w:hAnsi="Palatino Linotype"/>
          <w:sz w:val="24"/>
          <w:szCs w:val="24"/>
        </w:rPr>
      </w:pPr>
    </w:p>
    <w:p w:rsidR="00B35DFF" w:rsidRPr="00F004EC" w:rsidRDefault="00B35DFF" w:rsidP="00F004EC">
      <w:pPr>
        <w:pStyle w:val="Prrafodelista"/>
        <w:numPr>
          <w:ilvl w:val="0"/>
          <w:numId w:val="8"/>
        </w:numPr>
        <w:spacing w:line="360" w:lineRule="auto"/>
        <w:ind w:left="0" w:firstLine="0"/>
        <w:jc w:val="both"/>
        <w:rPr>
          <w:rFonts w:ascii="Palatino Linotype" w:hAnsi="Palatino Linotype"/>
          <w:sz w:val="24"/>
          <w:szCs w:val="24"/>
        </w:rPr>
      </w:pPr>
      <w:r w:rsidRPr="00BB0BA5">
        <w:rPr>
          <w:rFonts w:ascii="Palatino Linotype" w:hAnsi="Palatino Linotype"/>
          <w:sz w:val="24"/>
          <w:szCs w:val="24"/>
        </w:rPr>
        <w:t>He concurrido con mi opinión particular de la presente resolución emitida por el Pleno del Instituto de Transparencia, Acceso a la Información Pública y Protección de Datos Personales del Estado</w:t>
      </w:r>
      <w:r w:rsidR="00312935">
        <w:rPr>
          <w:rFonts w:ascii="Palatino Linotype" w:hAnsi="Palatino Linotype"/>
          <w:sz w:val="24"/>
          <w:szCs w:val="24"/>
        </w:rPr>
        <w:t xml:space="preserve"> de México y Municipios, en su </w:t>
      </w:r>
      <w:r w:rsidR="00B75785">
        <w:rPr>
          <w:rFonts w:ascii="Palatino Linotype" w:hAnsi="Palatino Linotype"/>
          <w:sz w:val="24"/>
          <w:szCs w:val="24"/>
        </w:rPr>
        <w:t xml:space="preserve">Trigésima Tercera </w:t>
      </w:r>
      <w:r w:rsidRPr="00BB0BA5">
        <w:rPr>
          <w:rFonts w:ascii="Palatino Linotype" w:hAnsi="Palatino Linotype"/>
          <w:sz w:val="24"/>
          <w:szCs w:val="24"/>
        </w:rPr>
        <w:t>Sesión Ordinaria</w:t>
      </w:r>
      <w:r w:rsidR="00B75785">
        <w:rPr>
          <w:rFonts w:ascii="Palatino Linotype" w:hAnsi="Palatino Linotype"/>
          <w:sz w:val="24"/>
          <w:szCs w:val="24"/>
        </w:rPr>
        <w:t xml:space="preserve"> celebrada en fecha doce (12</w:t>
      </w:r>
      <w:r w:rsidR="00810793">
        <w:rPr>
          <w:rFonts w:ascii="Palatino Linotype" w:hAnsi="Palatino Linotype"/>
          <w:sz w:val="24"/>
          <w:szCs w:val="24"/>
        </w:rPr>
        <w:t>) de septiembre</w:t>
      </w:r>
      <w:r w:rsidR="005B1F0E">
        <w:rPr>
          <w:rFonts w:ascii="Palatino Linotype" w:hAnsi="Palatino Linotype"/>
          <w:sz w:val="24"/>
          <w:szCs w:val="24"/>
        </w:rPr>
        <w:t xml:space="preserve"> de dos mil dieciocho</w:t>
      </w:r>
      <w:r w:rsidRPr="00BB0BA5">
        <w:rPr>
          <w:rFonts w:ascii="Palatino Linotype" w:hAnsi="Palatino Linotype"/>
          <w:sz w:val="24"/>
          <w:szCs w:val="24"/>
        </w:rPr>
        <w:t xml:space="preserve"> promovido por </w:t>
      </w:r>
      <w:r w:rsidR="000D4B17" w:rsidRPr="000D4B17">
        <w:rPr>
          <w:rFonts w:ascii="Palatino Linotype" w:hAnsi="Palatino Linotype"/>
          <w:b/>
          <w:sz w:val="24"/>
          <w:szCs w:val="24"/>
          <w:highlight w:val="black"/>
        </w:rPr>
        <w:t>------------------------------------</w:t>
      </w:r>
      <w:r w:rsidR="007E4DC7">
        <w:rPr>
          <w:rFonts w:ascii="Palatino Linotype" w:hAnsi="Palatino Linotype"/>
          <w:sz w:val="24"/>
          <w:szCs w:val="24"/>
        </w:rPr>
        <w:t xml:space="preserve"> en contra de la respuesta de</w:t>
      </w:r>
      <w:r w:rsidR="005B1F0E">
        <w:rPr>
          <w:rFonts w:ascii="Palatino Linotype" w:hAnsi="Palatino Linotype"/>
          <w:sz w:val="24"/>
          <w:szCs w:val="24"/>
        </w:rPr>
        <w:t xml:space="preserve"> la </w:t>
      </w:r>
      <w:r w:rsidR="0020160E">
        <w:rPr>
          <w:rFonts w:ascii="Palatino Linotype" w:hAnsi="Palatino Linotype"/>
          <w:b/>
          <w:sz w:val="24"/>
          <w:szCs w:val="24"/>
        </w:rPr>
        <w:t>Universidad Politécnica del Valle de Toluca,</w:t>
      </w:r>
      <w:r w:rsidR="007E4DC7">
        <w:rPr>
          <w:rFonts w:ascii="Palatino Linotype" w:hAnsi="Palatino Linotype"/>
          <w:b/>
          <w:sz w:val="24"/>
          <w:szCs w:val="24"/>
        </w:rPr>
        <w:t xml:space="preserve"> </w:t>
      </w:r>
      <w:r w:rsidRPr="00BB0BA5">
        <w:rPr>
          <w:rFonts w:ascii="Palatino Linotype" w:hAnsi="Palatino Linotype"/>
          <w:sz w:val="24"/>
          <w:szCs w:val="24"/>
        </w:rPr>
        <w:t>procedimiento a</w:t>
      </w:r>
      <w:r w:rsidR="0020160E">
        <w:rPr>
          <w:rFonts w:ascii="Palatino Linotype" w:hAnsi="Palatino Linotype"/>
          <w:sz w:val="24"/>
          <w:szCs w:val="24"/>
        </w:rPr>
        <w:t>l</w:t>
      </w:r>
      <w:r w:rsidR="0022628C">
        <w:rPr>
          <w:rFonts w:ascii="Palatino Linotype" w:hAnsi="Palatino Linotype"/>
          <w:sz w:val="24"/>
          <w:szCs w:val="24"/>
        </w:rPr>
        <w:t xml:space="preserve"> </w:t>
      </w:r>
      <w:r w:rsidRPr="00BB0BA5">
        <w:rPr>
          <w:rFonts w:ascii="Palatino Linotype" w:hAnsi="Palatino Linotype"/>
          <w:sz w:val="24"/>
          <w:szCs w:val="24"/>
        </w:rPr>
        <w:t>que se le asig</w:t>
      </w:r>
      <w:r w:rsidR="005B1F0E">
        <w:rPr>
          <w:rFonts w:ascii="Palatino Linotype" w:hAnsi="Palatino Linotype"/>
          <w:sz w:val="24"/>
          <w:szCs w:val="24"/>
        </w:rPr>
        <w:t xml:space="preserve">nó </w:t>
      </w:r>
      <w:r w:rsidR="0020160E">
        <w:rPr>
          <w:rFonts w:ascii="Palatino Linotype" w:hAnsi="Palatino Linotype"/>
          <w:sz w:val="24"/>
          <w:szCs w:val="24"/>
        </w:rPr>
        <w:t>el</w:t>
      </w:r>
      <w:r w:rsidRPr="00BB0BA5">
        <w:rPr>
          <w:rFonts w:ascii="Palatino Linotype" w:hAnsi="Palatino Linotype"/>
          <w:sz w:val="24"/>
          <w:szCs w:val="24"/>
        </w:rPr>
        <w:t xml:space="preserve"> número de expediente </w:t>
      </w:r>
      <w:r w:rsidR="0020160E">
        <w:rPr>
          <w:rFonts w:ascii="Palatino Linotype" w:hAnsi="Palatino Linotype"/>
          <w:b/>
          <w:sz w:val="24"/>
          <w:szCs w:val="24"/>
        </w:rPr>
        <w:t>02</w:t>
      </w:r>
      <w:r w:rsidR="00810793">
        <w:rPr>
          <w:rFonts w:ascii="Palatino Linotype" w:hAnsi="Palatino Linotype"/>
          <w:b/>
          <w:sz w:val="24"/>
          <w:szCs w:val="24"/>
        </w:rPr>
        <w:t>536</w:t>
      </w:r>
      <w:r w:rsidRPr="00BB0BA5">
        <w:rPr>
          <w:rFonts w:ascii="Palatino Linotype" w:hAnsi="Palatino Linotype"/>
          <w:b/>
          <w:sz w:val="24"/>
          <w:szCs w:val="24"/>
        </w:rPr>
        <w:t>/INFOEM/IP/RR/</w:t>
      </w:r>
      <w:r w:rsidR="0020160E">
        <w:rPr>
          <w:rFonts w:ascii="Palatino Linotype" w:hAnsi="Palatino Linotype"/>
          <w:b/>
          <w:sz w:val="24"/>
          <w:szCs w:val="24"/>
        </w:rPr>
        <w:t>2018</w:t>
      </w:r>
      <w:r w:rsidR="0022628C">
        <w:rPr>
          <w:rFonts w:ascii="Palatino Linotype" w:hAnsi="Palatino Linotype"/>
          <w:b/>
          <w:sz w:val="24"/>
          <w:szCs w:val="24"/>
        </w:rPr>
        <w:t>.</w:t>
      </w:r>
    </w:p>
    <w:p w:rsidR="00F004EC" w:rsidRPr="00F004EC" w:rsidRDefault="00F004EC" w:rsidP="00F004EC">
      <w:pPr>
        <w:pStyle w:val="Prrafodelista"/>
        <w:spacing w:line="360" w:lineRule="auto"/>
        <w:ind w:left="0"/>
        <w:jc w:val="both"/>
        <w:rPr>
          <w:rFonts w:ascii="Palatino Linotype" w:hAnsi="Palatino Linotype"/>
          <w:sz w:val="24"/>
          <w:szCs w:val="24"/>
        </w:rPr>
      </w:pPr>
    </w:p>
    <w:p w:rsidR="00B35DFF" w:rsidRPr="00A44324" w:rsidRDefault="00B35DFF" w:rsidP="00A44324">
      <w:pPr>
        <w:pStyle w:val="Prrafodelista"/>
        <w:numPr>
          <w:ilvl w:val="0"/>
          <w:numId w:val="8"/>
        </w:numPr>
        <w:spacing w:before="240" w:after="240" w:line="360" w:lineRule="auto"/>
        <w:ind w:left="0" w:firstLine="0"/>
        <w:jc w:val="both"/>
        <w:rPr>
          <w:rFonts w:ascii="Palatino Linotype" w:hAnsi="Palatino Linotype"/>
          <w:sz w:val="24"/>
          <w:szCs w:val="24"/>
        </w:rPr>
      </w:pPr>
      <w:r w:rsidRPr="000B3BA5">
        <w:rPr>
          <w:rFonts w:ascii="Palatino Linotype" w:hAnsi="Palatino Linotype"/>
          <w:sz w:val="24"/>
          <w:szCs w:val="24"/>
        </w:rPr>
        <w:t>La resolución puntualmente determina</w:t>
      </w:r>
      <w:r w:rsidR="005B1F0E" w:rsidRPr="000B3BA5">
        <w:rPr>
          <w:rFonts w:ascii="Palatino Linotype" w:hAnsi="Palatino Linotype"/>
          <w:sz w:val="24"/>
          <w:szCs w:val="24"/>
        </w:rPr>
        <w:t xml:space="preserve"> </w:t>
      </w:r>
      <w:r w:rsidR="00672EA2" w:rsidRPr="000B3BA5">
        <w:rPr>
          <w:rFonts w:ascii="Palatino Linotype" w:hAnsi="Palatino Linotype"/>
          <w:b/>
          <w:sz w:val="24"/>
          <w:szCs w:val="24"/>
        </w:rPr>
        <w:t xml:space="preserve">CONFIRMAR </w:t>
      </w:r>
      <w:r w:rsidR="00A44324">
        <w:rPr>
          <w:rFonts w:ascii="Palatino Linotype" w:hAnsi="Palatino Linotype"/>
          <w:sz w:val="24"/>
          <w:szCs w:val="24"/>
        </w:rPr>
        <w:t>la respuesta</w:t>
      </w:r>
      <w:r w:rsidR="00321D9F">
        <w:rPr>
          <w:rFonts w:ascii="Palatino Linotype" w:hAnsi="Palatino Linotype"/>
          <w:sz w:val="24"/>
          <w:szCs w:val="24"/>
        </w:rPr>
        <w:t xml:space="preserve"> emitida por el </w:t>
      </w:r>
      <w:r w:rsidR="00321D9F">
        <w:rPr>
          <w:rFonts w:ascii="Palatino Linotype" w:hAnsi="Palatino Linotype"/>
          <w:b/>
          <w:sz w:val="24"/>
          <w:szCs w:val="24"/>
        </w:rPr>
        <w:t>SUJETO OBLIGADO</w:t>
      </w:r>
      <w:r w:rsidR="00321D9F">
        <w:rPr>
          <w:rFonts w:ascii="Palatino Linotype" w:hAnsi="Palatino Linotype"/>
          <w:sz w:val="24"/>
          <w:szCs w:val="24"/>
        </w:rPr>
        <w:t xml:space="preserve">, al </w:t>
      </w:r>
      <w:r w:rsidR="00A44324">
        <w:rPr>
          <w:rFonts w:ascii="Palatino Linotype" w:hAnsi="Palatino Linotype"/>
          <w:sz w:val="24"/>
          <w:szCs w:val="24"/>
        </w:rPr>
        <w:t xml:space="preserve">resultar infundadas las razones o motivos de inconformidad planteados por la recurrente, en virtud de que el Sujeto Obligado </w:t>
      </w:r>
      <w:r w:rsidR="000B3BA5" w:rsidRPr="00A44324">
        <w:rPr>
          <w:rFonts w:ascii="Palatino Linotype" w:hAnsi="Palatino Linotype"/>
        </w:rPr>
        <w:t xml:space="preserve">brindó respuesta al requerimiento, misma que si bien no da acceso al documento requerido, sí colma el derecho de acceso a la información, considerando que los sujetos obligados no están impuestos a entregar lo imposible o aquello que no genera, posee o administra en el ejercicio de sus funciones </w:t>
      </w:r>
      <w:r w:rsidR="0020160E" w:rsidRPr="00A44324">
        <w:rPr>
          <w:rFonts w:ascii="Palatino Linotype" w:hAnsi="Palatino Linotype"/>
          <w:sz w:val="24"/>
          <w:szCs w:val="24"/>
        </w:rPr>
        <w:t xml:space="preserve">en </w:t>
      </w:r>
      <w:r w:rsidR="000B3BA5" w:rsidRPr="00A44324">
        <w:rPr>
          <w:rFonts w:ascii="Palatino Linotype" w:hAnsi="Palatino Linotype"/>
          <w:sz w:val="24"/>
          <w:szCs w:val="24"/>
        </w:rPr>
        <w:t>término</w:t>
      </w:r>
      <w:r w:rsidR="0020160E" w:rsidRPr="00A44324">
        <w:rPr>
          <w:rFonts w:ascii="Palatino Linotype" w:hAnsi="Palatino Linotype"/>
          <w:sz w:val="24"/>
          <w:szCs w:val="24"/>
        </w:rPr>
        <w:t xml:space="preserve"> del </w:t>
      </w:r>
      <w:r w:rsidR="000B3BA5" w:rsidRPr="00A44324">
        <w:rPr>
          <w:rFonts w:ascii="Palatino Linotype" w:hAnsi="Palatino Linotype"/>
          <w:sz w:val="24"/>
          <w:szCs w:val="24"/>
        </w:rPr>
        <w:t xml:space="preserve">Considerando </w:t>
      </w:r>
      <w:r w:rsidR="000B3BA5" w:rsidRPr="00321D9F">
        <w:rPr>
          <w:rFonts w:ascii="Palatino Linotype" w:hAnsi="Palatino Linotype"/>
          <w:b/>
          <w:sz w:val="24"/>
          <w:szCs w:val="24"/>
        </w:rPr>
        <w:t>CUARTO</w:t>
      </w:r>
      <w:r w:rsidR="0020160E" w:rsidRPr="00A44324">
        <w:rPr>
          <w:rFonts w:ascii="Palatino Linotype" w:hAnsi="Palatino Linotype"/>
          <w:sz w:val="24"/>
          <w:szCs w:val="24"/>
        </w:rPr>
        <w:t xml:space="preserve"> de la misma.</w:t>
      </w:r>
    </w:p>
    <w:p w:rsidR="0020160E" w:rsidRPr="005B1F0E" w:rsidRDefault="0020160E" w:rsidP="0020160E">
      <w:pPr>
        <w:pStyle w:val="Prrafodelista"/>
        <w:spacing w:line="360" w:lineRule="auto"/>
        <w:ind w:left="360"/>
        <w:jc w:val="both"/>
        <w:rPr>
          <w:rFonts w:ascii="Palatino Linotype" w:hAnsi="Palatino Linotype"/>
          <w:sz w:val="24"/>
          <w:szCs w:val="24"/>
        </w:rPr>
      </w:pPr>
    </w:p>
    <w:p w:rsidR="001B72BB" w:rsidRDefault="00B35DFF" w:rsidP="00F004EC">
      <w:pPr>
        <w:pStyle w:val="Prrafodelista"/>
        <w:numPr>
          <w:ilvl w:val="0"/>
          <w:numId w:val="8"/>
        </w:numPr>
        <w:spacing w:line="360" w:lineRule="auto"/>
        <w:ind w:left="0" w:firstLine="0"/>
        <w:jc w:val="both"/>
        <w:rPr>
          <w:rFonts w:ascii="Palatino Linotype" w:hAnsi="Palatino Linotype"/>
          <w:sz w:val="24"/>
          <w:szCs w:val="24"/>
        </w:rPr>
      </w:pPr>
      <w:r w:rsidRPr="001B72BB">
        <w:rPr>
          <w:rFonts w:ascii="Palatino Linotype" w:hAnsi="Palatino Linotype"/>
          <w:sz w:val="24"/>
          <w:szCs w:val="24"/>
        </w:rPr>
        <w:t>Por tal motivo y en términos de lo señalado por el artículo 14 fracción XI del Reglamento Interior del Instituto de Transparencia y Acceso a la Información Pública del Estado de México y Municipios formulo la presente opinión particular.</w:t>
      </w:r>
    </w:p>
    <w:p w:rsidR="00F004EC" w:rsidRPr="001B72BB" w:rsidRDefault="00F004EC" w:rsidP="00F004EC">
      <w:pPr>
        <w:pStyle w:val="Prrafodelista"/>
        <w:spacing w:line="360" w:lineRule="auto"/>
        <w:ind w:left="0"/>
        <w:jc w:val="both"/>
        <w:rPr>
          <w:rFonts w:ascii="Palatino Linotype" w:hAnsi="Palatino Linotype"/>
          <w:sz w:val="24"/>
          <w:szCs w:val="24"/>
        </w:rPr>
      </w:pPr>
    </w:p>
    <w:p w:rsidR="001B72BB" w:rsidRDefault="001B72BB" w:rsidP="001B72BB">
      <w:pPr>
        <w:pStyle w:val="Ttulo1"/>
        <w:rPr>
          <w:rFonts w:ascii="Palatino Linotype" w:hAnsi="Palatino Linotype"/>
          <w:b/>
          <w:color w:val="auto"/>
          <w:sz w:val="24"/>
        </w:rPr>
      </w:pPr>
      <w:bookmarkStart w:id="1" w:name="_Toc524953355"/>
      <w:r w:rsidRPr="001B72BB">
        <w:rPr>
          <w:rFonts w:ascii="Palatino Linotype" w:hAnsi="Palatino Linotype"/>
          <w:b/>
          <w:color w:val="auto"/>
          <w:sz w:val="24"/>
        </w:rPr>
        <w:t>II. Antecedentes que dieron origen a la presente Opinión Particular.</w:t>
      </w:r>
      <w:bookmarkEnd w:id="1"/>
    </w:p>
    <w:p w:rsidR="001B72BB" w:rsidRPr="001B72BB" w:rsidRDefault="001B72BB" w:rsidP="001B72BB"/>
    <w:p w:rsidR="001B72BB" w:rsidRDefault="001B72BB" w:rsidP="007E7D9C">
      <w:pPr>
        <w:pStyle w:val="Prrafodelista"/>
        <w:numPr>
          <w:ilvl w:val="0"/>
          <w:numId w:val="8"/>
        </w:numPr>
        <w:spacing w:line="360" w:lineRule="auto"/>
        <w:ind w:left="0" w:firstLine="0"/>
        <w:jc w:val="both"/>
        <w:rPr>
          <w:rFonts w:ascii="Palatino Linotype" w:hAnsi="Palatino Linotype"/>
          <w:sz w:val="24"/>
          <w:szCs w:val="24"/>
        </w:rPr>
      </w:pPr>
      <w:r>
        <w:rPr>
          <w:rFonts w:ascii="Palatino Linotype" w:hAnsi="Palatino Linotype"/>
          <w:sz w:val="24"/>
          <w:szCs w:val="24"/>
        </w:rPr>
        <w:t xml:space="preserve">En fecha </w:t>
      </w:r>
      <w:r w:rsidR="0096505A">
        <w:rPr>
          <w:rFonts w:ascii="Palatino Linotype" w:hAnsi="Palatino Linotype"/>
          <w:sz w:val="24"/>
          <w:szCs w:val="24"/>
        </w:rPr>
        <w:t xml:space="preserve">cuatro (04) de junio </w:t>
      </w:r>
      <w:r>
        <w:rPr>
          <w:rFonts w:ascii="Palatino Linotype" w:hAnsi="Palatino Linotype"/>
          <w:sz w:val="24"/>
          <w:szCs w:val="24"/>
        </w:rPr>
        <w:t xml:space="preserve">de dos mil dieciocho, la </w:t>
      </w:r>
      <w:r>
        <w:rPr>
          <w:rFonts w:ascii="Palatino Linotype" w:hAnsi="Palatino Linotype"/>
          <w:b/>
          <w:sz w:val="24"/>
          <w:szCs w:val="24"/>
        </w:rPr>
        <w:t>RECURRENTE</w:t>
      </w:r>
      <w:r w:rsidR="007E7D9C">
        <w:rPr>
          <w:rFonts w:ascii="Palatino Linotype" w:hAnsi="Palatino Linotype"/>
          <w:sz w:val="24"/>
          <w:szCs w:val="24"/>
        </w:rPr>
        <w:t xml:space="preserve"> requirió </w:t>
      </w:r>
      <w:r>
        <w:rPr>
          <w:rFonts w:ascii="Palatino Linotype" w:hAnsi="Palatino Linotype"/>
          <w:sz w:val="24"/>
          <w:szCs w:val="24"/>
        </w:rPr>
        <w:t xml:space="preserve"> mediante la solicitud de información </w:t>
      </w:r>
      <w:r w:rsidR="00FE0B35">
        <w:rPr>
          <w:rFonts w:ascii="Palatino Linotype" w:hAnsi="Palatino Linotype"/>
          <w:b/>
          <w:sz w:val="24"/>
          <w:szCs w:val="24"/>
        </w:rPr>
        <w:t>0003</w:t>
      </w:r>
      <w:r w:rsidRPr="001B72BB">
        <w:rPr>
          <w:rFonts w:ascii="Palatino Linotype" w:hAnsi="Palatino Linotype"/>
          <w:b/>
          <w:sz w:val="24"/>
          <w:szCs w:val="24"/>
        </w:rPr>
        <w:t>97/UPVT/IP/2018</w:t>
      </w:r>
      <w:r>
        <w:rPr>
          <w:rFonts w:ascii="Palatino Linotype" w:hAnsi="Palatino Linotype"/>
          <w:sz w:val="24"/>
          <w:szCs w:val="24"/>
        </w:rPr>
        <w:t xml:space="preserve"> lo siguiente:</w:t>
      </w:r>
    </w:p>
    <w:p w:rsidR="007E7D9C" w:rsidRDefault="007E7D9C" w:rsidP="007E7D9C">
      <w:pPr>
        <w:pStyle w:val="Prrafodelista"/>
        <w:spacing w:line="360" w:lineRule="auto"/>
        <w:ind w:left="0"/>
        <w:jc w:val="both"/>
        <w:rPr>
          <w:rFonts w:ascii="Palatino Linotype" w:hAnsi="Palatino Linotype"/>
          <w:sz w:val="24"/>
          <w:szCs w:val="24"/>
        </w:rPr>
      </w:pPr>
    </w:p>
    <w:p w:rsidR="001B72BB" w:rsidRPr="00FE0B35" w:rsidRDefault="00FE0B35" w:rsidP="00FE0B35">
      <w:pPr>
        <w:pStyle w:val="Sinespaciado"/>
        <w:tabs>
          <w:tab w:val="left" w:pos="8222"/>
        </w:tabs>
        <w:spacing w:line="360" w:lineRule="auto"/>
        <w:ind w:right="616"/>
        <w:rPr>
          <w:rFonts w:ascii="Palatino Linotype" w:hAnsi="Palatino Linotype"/>
          <w:i/>
        </w:rPr>
      </w:pPr>
      <w:r w:rsidRPr="00FE0B35">
        <w:rPr>
          <w:rFonts w:ascii="Palatino Linotype" w:hAnsi="Palatino Linotype"/>
          <w:i/>
        </w:rPr>
        <w:t>“</w:t>
      </w:r>
      <w:r w:rsidRPr="00FE0B35">
        <w:rPr>
          <w:rFonts w:ascii="Palatino Linotype" w:hAnsi="Palatino Linotype"/>
          <w:i/>
          <w:lang w:val="es-ES"/>
        </w:rPr>
        <w:t>De acuerdo a su IPOMEX, cuya actualización marca 31 de mayo de 2018, se establece que el Director de Área debe tener grado de maestría como mínimo, por lo tanto solicito el Grado de Maestría del Director de Administración y Finanzas. Y por si no se acuerdan que suben, va anexo para que se refresque su memoria</w:t>
      </w:r>
      <w:r w:rsidRPr="00FE0B35">
        <w:rPr>
          <w:rFonts w:ascii="Palatino Linotype" w:hAnsi="Palatino Linotype"/>
          <w:i/>
        </w:rPr>
        <w:t>.</w:t>
      </w:r>
      <w:r w:rsidR="001B72BB">
        <w:rPr>
          <w:rFonts w:ascii="Palatino Linotype" w:hAnsi="Palatino Linotype"/>
          <w:i/>
        </w:rPr>
        <w:t>”</w:t>
      </w:r>
      <w:r w:rsidR="001B72BB">
        <w:rPr>
          <w:rFonts w:ascii="Palatino Linotype" w:hAnsi="Palatino Linotype"/>
        </w:rPr>
        <w:t xml:space="preserve"> (Sic).</w:t>
      </w:r>
    </w:p>
    <w:p w:rsidR="007E7D9C" w:rsidRDefault="007E7D9C" w:rsidP="007E7D9C">
      <w:pPr>
        <w:pStyle w:val="Sinespaciado"/>
        <w:spacing w:line="360" w:lineRule="auto"/>
        <w:ind w:left="567" w:right="49"/>
        <w:jc w:val="both"/>
        <w:rPr>
          <w:rFonts w:ascii="Palatino Linotype" w:hAnsi="Palatino Linotype"/>
        </w:rPr>
      </w:pPr>
    </w:p>
    <w:p w:rsidR="00BD49E0" w:rsidRDefault="00BD49E0" w:rsidP="001B72BB">
      <w:pPr>
        <w:pStyle w:val="Sinespaciado"/>
        <w:ind w:left="567" w:right="851"/>
        <w:jc w:val="both"/>
        <w:rPr>
          <w:rFonts w:ascii="Palatino Linotype" w:hAnsi="Palatino Linotype"/>
        </w:rPr>
      </w:pPr>
    </w:p>
    <w:p w:rsidR="00FE0B35" w:rsidRPr="007E7D9C" w:rsidRDefault="00D644F8" w:rsidP="00FE0B35">
      <w:pPr>
        <w:pStyle w:val="Prrafodelista"/>
        <w:numPr>
          <w:ilvl w:val="0"/>
          <w:numId w:val="8"/>
        </w:numPr>
        <w:spacing w:line="360" w:lineRule="auto"/>
        <w:ind w:left="0" w:firstLine="0"/>
        <w:jc w:val="both"/>
      </w:pPr>
      <w:r>
        <w:rPr>
          <w:rFonts w:ascii="Palatino Linotype" w:hAnsi="Palatino Linotype"/>
          <w:sz w:val="24"/>
          <w:szCs w:val="24"/>
        </w:rPr>
        <w:t>De lo anterior, podemos evidenciar lo siguiente:</w:t>
      </w:r>
    </w:p>
    <w:p w:rsidR="007E7D9C" w:rsidRPr="00D644F8" w:rsidRDefault="007E7D9C" w:rsidP="007E7D9C">
      <w:pPr>
        <w:pStyle w:val="Prrafodelista"/>
        <w:spacing w:line="360" w:lineRule="auto"/>
        <w:ind w:left="360"/>
        <w:jc w:val="both"/>
      </w:pPr>
    </w:p>
    <w:p w:rsidR="00805694" w:rsidRPr="00CD7068" w:rsidRDefault="00D644F8" w:rsidP="00FE0B35">
      <w:pPr>
        <w:pStyle w:val="Prrafodelista"/>
        <w:numPr>
          <w:ilvl w:val="1"/>
          <w:numId w:val="8"/>
        </w:numPr>
        <w:spacing w:line="360" w:lineRule="auto"/>
        <w:ind w:left="567" w:right="616" w:firstLine="0"/>
        <w:jc w:val="both"/>
      </w:pPr>
      <w:r w:rsidRPr="00805694">
        <w:rPr>
          <w:rFonts w:ascii="Palatino Linotype" w:hAnsi="Palatino Linotype"/>
          <w:sz w:val="24"/>
          <w:szCs w:val="24"/>
        </w:rPr>
        <w:t xml:space="preserve">La </w:t>
      </w:r>
      <w:r w:rsidRPr="00805694">
        <w:rPr>
          <w:rFonts w:ascii="Palatino Linotype" w:hAnsi="Palatino Linotype"/>
          <w:b/>
          <w:sz w:val="24"/>
          <w:szCs w:val="24"/>
        </w:rPr>
        <w:t>RECURRENTE</w:t>
      </w:r>
      <w:r w:rsidR="00FE0B35">
        <w:rPr>
          <w:rFonts w:ascii="Palatino Linotype" w:hAnsi="Palatino Linotype"/>
          <w:sz w:val="24"/>
          <w:szCs w:val="24"/>
        </w:rPr>
        <w:t xml:space="preserve"> consultó el </w:t>
      </w:r>
      <w:r w:rsidR="00594D8C">
        <w:rPr>
          <w:rFonts w:ascii="Palatino Linotype" w:hAnsi="Palatino Linotype"/>
          <w:sz w:val="24"/>
          <w:szCs w:val="24"/>
        </w:rPr>
        <w:t xml:space="preserve">Sistema </w:t>
      </w:r>
      <w:r w:rsidR="00FE0B35">
        <w:rPr>
          <w:rFonts w:ascii="Palatino Linotype" w:hAnsi="Palatino Linotype"/>
          <w:sz w:val="24"/>
          <w:szCs w:val="24"/>
        </w:rPr>
        <w:t>de Información Pública de Oficio Mexiquense (IPOMEX)</w:t>
      </w:r>
      <w:r w:rsidRPr="00805694">
        <w:rPr>
          <w:rFonts w:ascii="Palatino Linotype" w:hAnsi="Palatino Linotype"/>
          <w:sz w:val="24"/>
          <w:szCs w:val="24"/>
        </w:rPr>
        <w:t xml:space="preserve"> del </w:t>
      </w:r>
      <w:r w:rsidRPr="00805694">
        <w:rPr>
          <w:rFonts w:ascii="Palatino Linotype" w:hAnsi="Palatino Linotype"/>
          <w:b/>
          <w:sz w:val="24"/>
          <w:szCs w:val="24"/>
        </w:rPr>
        <w:t>SUJETO OBLIGADO</w:t>
      </w:r>
      <w:r w:rsidR="008E6387" w:rsidRPr="00805694">
        <w:rPr>
          <w:rFonts w:ascii="Palatino Linotype" w:hAnsi="Palatino Linotype"/>
          <w:sz w:val="24"/>
          <w:szCs w:val="24"/>
        </w:rPr>
        <w:t>, y se percató que el</w:t>
      </w:r>
      <w:r w:rsidRPr="00805694">
        <w:rPr>
          <w:rFonts w:ascii="Palatino Linotype" w:hAnsi="Palatino Linotype"/>
          <w:sz w:val="24"/>
          <w:szCs w:val="24"/>
        </w:rPr>
        <w:t xml:space="preserve"> servidor públic</w:t>
      </w:r>
      <w:r w:rsidR="008E6387" w:rsidRPr="00805694">
        <w:rPr>
          <w:rFonts w:ascii="Palatino Linotype" w:hAnsi="Palatino Linotype"/>
          <w:sz w:val="24"/>
          <w:szCs w:val="24"/>
        </w:rPr>
        <w:t xml:space="preserve">o que </w:t>
      </w:r>
      <w:r w:rsidRPr="00805694">
        <w:rPr>
          <w:rFonts w:ascii="Palatino Linotype" w:hAnsi="Palatino Linotype"/>
          <w:sz w:val="24"/>
          <w:szCs w:val="24"/>
        </w:rPr>
        <w:t xml:space="preserve">ostentaba el cargo de </w:t>
      </w:r>
      <w:r w:rsidR="008E6387" w:rsidRPr="00805694">
        <w:rPr>
          <w:rFonts w:ascii="Palatino Linotype" w:hAnsi="Palatino Linotype"/>
          <w:i/>
          <w:sz w:val="24"/>
          <w:szCs w:val="24"/>
        </w:rPr>
        <w:t>Director de</w:t>
      </w:r>
      <w:r w:rsidR="00FE0B35">
        <w:rPr>
          <w:rFonts w:ascii="Palatino Linotype" w:hAnsi="Palatino Linotype"/>
          <w:i/>
          <w:sz w:val="24"/>
          <w:szCs w:val="24"/>
        </w:rPr>
        <w:t xml:space="preserve"> Administración y Finanzas </w:t>
      </w:r>
      <w:r w:rsidRPr="00805694">
        <w:rPr>
          <w:rFonts w:ascii="Palatino Linotype" w:hAnsi="Palatino Linotype"/>
          <w:sz w:val="24"/>
          <w:szCs w:val="24"/>
        </w:rPr>
        <w:t>de la universidad,</w:t>
      </w:r>
      <w:r w:rsidR="008E6387" w:rsidRPr="00805694">
        <w:rPr>
          <w:rFonts w:ascii="Palatino Linotype" w:hAnsi="Palatino Linotype"/>
          <w:sz w:val="24"/>
          <w:szCs w:val="24"/>
        </w:rPr>
        <w:t xml:space="preserve"> en la descripción del perfil del puesto señalaba que en términos del artículo 29 del decreto del </w:t>
      </w:r>
      <w:r w:rsidR="00805694" w:rsidRPr="00805694">
        <w:rPr>
          <w:rFonts w:ascii="Palatino Linotype" w:hAnsi="Palatino Linotype"/>
          <w:sz w:val="24"/>
          <w:szCs w:val="24"/>
        </w:rPr>
        <w:t xml:space="preserve">Ejecutivo </w:t>
      </w:r>
      <w:r w:rsidR="008E6387" w:rsidRPr="00805694">
        <w:rPr>
          <w:rFonts w:ascii="Palatino Linotype" w:hAnsi="Palatino Linotype"/>
          <w:sz w:val="24"/>
          <w:szCs w:val="24"/>
        </w:rPr>
        <w:t xml:space="preserve">del </w:t>
      </w:r>
      <w:r w:rsidR="00805694" w:rsidRPr="00805694">
        <w:rPr>
          <w:rFonts w:ascii="Palatino Linotype" w:hAnsi="Palatino Linotype"/>
          <w:sz w:val="24"/>
          <w:szCs w:val="24"/>
        </w:rPr>
        <w:t xml:space="preserve">Estado </w:t>
      </w:r>
      <w:r w:rsidR="008E6387" w:rsidRPr="00805694">
        <w:rPr>
          <w:rFonts w:ascii="Palatino Linotype" w:hAnsi="Palatino Linotype"/>
          <w:sz w:val="24"/>
          <w:szCs w:val="24"/>
        </w:rPr>
        <w:t xml:space="preserve">por el que se crea, el </w:t>
      </w:r>
      <w:r w:rsidR="00805694" w:rsidRPr="00805694">
        <w:rPr>
          <w:rFonts w:ascii="Palatino Linotype" w:hAnsi="Palatino Linotype"/>
          <w:sz w:val="24"/>
          <w:szCs w:val="24"/>
        </w:rPr>
        <w:t xml:space="preserve">Organismo Público Descentralizado </w:t>
      </w:r>
      <w:r w:rsidR="008E6387" w:rsidRPr="00805694">
        <w:rPr>
          <w:rFonts w:ascii="Palatino Linotype" w:hAnsi="Palatino Linotype"/>
          <w:sz w:val="24"/>
          <w:szCs w:val="24"/>
        </w:rPr>
        <w:t xml:space="preserve">de carácter estatal denominado </w:t>
      </w:r>
      <w:r w:rsidR="00805694" w:rsidRPr="00805694">
        <w:rPr>
          <w:rFonts w:ascii="Palatino Linotype" w:hAnsi="Palatino Linotype"/>
          <w:sz w:val="24"/>
          <w:szCs w:val="24"/>
        </w:rPr>
        <w:t xml:space="preserve">Universidad Politécnica </w:t>
      </w:r>
      <w:r w:rsidR="008E6387" w:rsidRPr="00805694">
        <w:rPr>
          <w:rFonts w:ascii="Palatino Linotype" w:hAnsi="Palatino Linotype"/>
          <w:sz w:val="24"/>
          <w:szCs w:val="24"/>
        </w:rPr>
        <w:t xml:space="preserve">del </w:t>
      </w:r>
      <w:r w:rsidR="00805694" w:rsidRPr="00805694">
        <w:rPr>
          <w:rFonts w:ascii="Palatino Linotype" w:hAnsi="Palatino Linotype"/>
          <w:sz w:val="24"/>
          <w:szCs w:val="24"/>
        </w:rPr>
        <w:t xml:space="preserve">Valle </w:t>
      </w:r>
      <w:r w:rsidR="008E6387" w:rsidRPr="00805694">
        <w:rPr>
          <w:rFonts w:ascii="Palatino Linotype" w:hAnsi="Palatino Linotype"/>
          <w:sz w:val="24"/>
          <w:szCs w:val="24"/>
        </w:rPr>
        <w:t xml:space="preserve">de </w:t>
      </w:r>
      <w:r w:rsidR="00805694" w:rsidRPr="00805694">
        <w:rPr>
          <w:rFonts w:ascii="Palatino Linotype" w:hAnsi="Palatino Linotype"/>
          <w:sz w:val="24"/>
          <w:szCs w:val="24"/>
        </w:rPr>
        <w:t xml:space="preserve">Toluca </w:t>
      </w:r>
      <w:r w:rsidR="008E6387" w:rsidRPr="00805694">
        <w:rPr>
          <w:rFonts w:ascii="Palatino Linotype" w:hAnsi="Palatino Linotype"/>
          <w:sz w:val="24"/>
          <w:szCs w:val="24"/>
        </w:rPr>
        <w:t>publicado en gaceta de gobierno con fecha 13 de noviembre del 2006, con reforma el 08 de junio d</w:t>
      </w:r>
      <w:r w:rsidR="00CD7068">
        <w:rPr>
          <w:rFonts w:ascii="Palatino Linotype" w:hAnsi="Palatino Linotype"/>
          <w:sz w:val="24"/>
          <w:szCs w:val="24"/>
        </w:rPr>
        <w:t xml:space="preserve">el 2015, que a la letra </w:t>
      </w:r>
      <w:r w:rsidR="00CD7068">
        <w:rPr>
          <w:rFonts w:ascii="Palatino Linotype" w:hAnsi="Palatino Linotype"/>
          <w:sz w:val="24"/>
          <w:szCs w:val="24"/>
        </w:rPr>
        <w:lastRenderedPageBreak/>
        <w:t>dice</w:t>
      </w:r>
      <w:r w:rsidR="00805694" w:rsidRPr="00805694">
        <w:rPr>
          <w:rFonts w:ascii="Palatino Linotype" w:hAnsi="Palatino Linotype"/>
          <w:sz w:val="24"/>
          <w:szCs w:val="24"/>
        </w:rPr>
        <w:t>: ser ciudadano mexicano, se mayor de treinta años, tener como mínimo grado de maestría, tener reconocida trayectoria académica y profesional en el área de su competencia, y ser persona de amplia solvencia moral. </w:t>
      </w:r>
    </w:p>
    <w:p w:rsidR="00CD7068" w:rsidRPr="00805694" w:rsidRDefault="00CD7068" w:rsidP="00CD7068">
      <w:pPr>
        <w:pStyle w:val="Prrafodelista"/>
        <w:spacing w:line="360" w:lineRule="auto"/>
        <w:ind w:left="567" w:right="616"/>
        <w:jc w:val="both"/>
      </w:pPr>
    </w:p>
    <w:p w:rsidR="00D644F8" w:rsidRPr="00D644F8" w:rsidRDefault="00D644F8" w:rsidP="00FE0B35">
      <w:pPr>
        <w:pStyle w:val="Prrafodelista"/>
        <w:numPr>
          <w:ilvl w:val="1"/>
          <w:numId w:val="8"/>
        </w:numPr>
        <w:spacing w:line="360" w:lineRule="auto"/>
        <w:ind w:left="567" w:right="616" w:firstLine="0"/>
        <w:jc w:val="both"/>
      </w:pPr>
      <w:r>
        <w:rPr>
          <w:rFonts w:ascii="Palatino Linotype" w:hAnsi="Palatino Linotype"/>
          <w:sz w:val="24"/>
          <w:szCs w:val="24"/>
        </w:rPr>
        <w:t xml:space="preserve">La </w:t>
      </w:r>
      <w:r>
        <w:rPr>
          <w:rFonts w:ascii="Palatino Linotype" w:hAnsi="Palatino Linotype"/>
          <w:b/>
          <w:sz w:val="24"/>
          <w:szCs w:val="24"/>
        </w:rPr>
        <w:t>RECURRENTE</w:t>
      </w:r>
      <w:r>
        <w:rPr>
          <w:rFonts w:ascii="Palatino Linotype" w:hAnsi="Palatino Linotype"/>
          <w:sz w:val="24"/>
          <w:szCs w:val="24"/>
        </w:rPr>
        <w:t xml:space="preserve"> solicitó por medio del </w:t>
      </w:r>
      <w:r>
        <w:rPr>
          <w:rFonts w:ascii="Palatino Linotype" w:hAnsi="Palatino Linotype"/>
          <w:b/>
          <w:sz w:val="24"/>
          <w:szCs w:val="24"/>
        </w:rPr>
        <w:t>SAIMEX</w:t>
      </w:r>
      <w:r>
        <w:rPr>
          <w:rFonts w:ascii="Palatino Linotype" w:hAnsi="Palatino Linotype"/>
          <w:sz w:val="24"/>
          <w:szCs w:val="24"/>
        </w:rPr>
        <w:t xml:space="preserve"> al </w:t>
      </w:r>
      <w:r>
        <w:rPr>
          <w:rFonts w:ascii="Palatino Linotype" w:hAnsi="Palatino Linotype"/>
          <w:b/>
          <w:sz w:val="24"/>
          <w:szCs w:val="24"/>
        </w:rPr>
        <w:t>SUJETO OBLIGADO</w:t>
      </w:r>
      <w:r>
        <w:rPr>
          <w:rFonts w:ascii="Palatino Linotype" w:hAnsi="Palatino Linotype"/>
          <w:sz w:val="24"/>
          <w:szCs w:val="24"/>
        </w:rPr>
        <w:t xml:space="preserve"> los documentos consistentes en el grado de profesionalidad.</w:t>
      </w:r>
    </w:p>
    <w:p w:rsidR="00D644F8" w:rsidRPr="00D644F8" w:rsidRDefault="00D644F8" w:rsidP="00D644F8">
      <w:pPr>
        <w:pStyle w:val="Prrafodelista"/>
        <w:spacing w:line="360" w:lineRule="auto"/>
        <w:ind w:left="1080"/>
        <w:jc w:val="both"/>
      </w:pPr>
    </w:p>
    <w:p w:rsidR="00D644F8" w:rsidRPr="00CD7068" w:rsidRDefault="00D644F8" w:rsidP="00CD7068">
      <w:pPr>
        <w:pStyle w:val="Prrafodelista"/>
        <w:numPr>
          <w:ilvl w:val="0"/>
          <w:numId w:val="8"/>
        </w:numPr>
        <w:spacing w:line="360" w:lineRule="auto"/>
        <w:ind w:left="0" w:firstLine="0"/>
        <w:jc w:val="both"/>
      </w:pPr>
      <w:r>
        <w:rPr>
          <w:rFonts w:ascii="Palatino Linotype" w:hAnsi="Palatino Linotype"/>
          <w:sz w:val="24"/>
          <w:szCs w:val="24"/>
        </w:rPr>
        <w:t xml:space="preserve">El </w:t>
      </w:r>
      <w:r>
        <w:rPr>
          <w:rFonts w:ascii="Palatino Linotype" w:hAnsi="Palatino Linotype"/>
          <w:b/>
          <w:sz w:val="24"/>
          <w:szCs w:val="24"/>
        </w:rPr>
        <w:t>SUJETO OBLIGADO</w:t>
      </w:r>
      <w:r>
        <w:rPr>
          <w:rFonts w:ascii="Palatino Linotype" w:hAnsi="Palatino Linotype"/>
          <w:sz w:val="24"/>
          <w:szCs w:val="24"/>
        </w:rPr>
        <w:t xml:space="preserve">, por medio de su respuesta a la solicitud de información, refirió a la </w:t>
      </w:r>
      <w:r>
        <w:rPr>
          <w:rFonts w:ascii="Palatino Linotype" w:hAnsi="Palatino Linotype"/>
          <w:b/>
          <w:sz w:val="24"/>
          <w:szCs w:val="24"/>
        </w:rPr>
        <w:t>RECURRENTE</w:t>
      </w:r>
      <w:r>
        <w:rPr>
          <w:rFonts w:ascii="Palatino Linotype" w:hAnsi="Palatino Linotype"/>
          <w:sz w:val="24"/>
          <w:szCs w:val="24"/>
        </w:rPr>
        <w:t xml:space="preserve"> </w:t>
      </w:r>
      <w:r w:rsidR="00D24523">
        <w:rPr>
          <w:rFonts w:ascii="Palatino Linotype" w:hAnsi="Palatino Linotype"/>
          <w:sz w:val="24"/>
          <w:szCs w:val="24"/>
        </w:rPr>
        <w:t>lo siguiente:</w:t>
      </w:r>
    </w:p>
    <w:p w:rsidR="00CD7068" w:rsidRPr="00D24523" w:rsidRDefault="00CD7068" w:rsidP="00CD7068">
      <w:pPr>
        <w:pStyle w:val="Prrafodelista"/>
        <w:spacing w:line="360" w:lineRule="auto"/>
        <w:ind w:left="0"/>
        <w:jc w:val="both"/>
      </w:pPr>
    </w:p>
    <w:p w:rsidR="00CD7068" w:rsidRPr="00CD7068" w:rsidRDefault="00D24523" w:rsidP="00CD7068">
      <w:pPr>
        <w:pStyle w:val="Sinespaciado"/>
        <w:spacing w:line="360" w:lineRule="auto"/>
        <w:ind w:left="567" w:right="616"/>
        <w:jc w:val="both"/>
        <w:rPr>
          <w:rFonts w:ascii="Palatino Linotype" w:hAnsi="Palatino Linotype"/>
          <w:i/>
        </w:rPr>
      </w:pPr>
      <w:r w:rsidRPr="00D24523">
        <w:rPr>
          <w:rFonts w:ascii="Palatino Linotype" w:hAnsi="Palatino Linotype"/>
          <w:i/>
        </w:rPr>
        <w:t>“</w:t>
      </w:r>
      <w:r w:rsidR="00CD7068" w:rsidRPr="00CD7068">
        <w:rPr>
          <w:rFonts w:ascii="Palatino Linotype" w:hAnsi="Palatino Linotype"/>
          <w:i/>
        </w:rPr>
        <w:t>Metepec, México a 25 de Junio de 2018</w:t>
      </w:r>
    </w:p>
    <w:p w:rsidR="00CD7068" w:rsidRPr="00CD7068" w:rsidRDefault="00CD7068" w:rsidP="00CD7068">
      <w:pPr>
        <w:pStyle w:val="Sinespaciado"/>
        <w:spacing w:line="360" w:lineRule="auto"/>
        <w:ind w:left="567" w:right="616"/>
        <w:jc w:val="both"/>
        <w:rPr>
          <w:rFonts w:ascii="Palatino Linotype" w:hAnsi="Palatino Linotype"/>
          <w:i/>
        </w:rPr>
      </w:pPr>
      <w:r w:rsidRPr="00CD7068">
        <w:rPr>
          <w:rFonts w:ascii="Palatino Linotype" w:hAnsi="Palatino Linotype"/>
          <w:i/>
        </w:rPr>
        <w:t xml:space="preserve">Nombre del solicitante: </w:t>
      </w:r>
      <w:r w:rsidR="000D4B17" w:rsidRPr="000D4B17">
        <w:rPr>
          <w:rFonts w:ascii="Palatino Linotype" w:hAnsi="Palatino Linotype"/>
          <w:i/>
          <w:highlight w:val="black"/>
        </w:rPr>
        <w:t>------------------------------------</w:t>
      </w:r>
    </w:p>
    <w:p w:rsidR="00CD7068" w:rsidRPr="00CD7068" w:rsidRDefault="00CD7068" w:rsidP="004334F6">
      <w:pPr>
        <w:pStyle w:val="Sinespaciado"/>
        <w:spacing w:line="360" w:lineRule="auto"/>
        <w:ind w:left="567" w:right="616"/>
        <w:jc w:val="both"/>
        <w:rPr>
          <w:rFonts w:ascii="Palatino Linotype" w:hAnsi="Palatino Linotype"/>
          <w:i/>
        </w:rPr>
      </w:pPr>
      <w:r w:rsidRPr="00CD7068">
        <w:rPr>
          <w:rFonts w:ascii="Palatino Linotype" w:hAnsi="Palatino Linotype"/>
          <w:i/>
        </w:rPr>
        <w:t>Folio de la solicitud: 00397/UPVT/IP/2018</w:t>
      </w:r>
    </w:p>
    <w:p w:rsidR="00CD7068" w:rsidRPr="00CD7068" w:rsidRDefault="00CD7068" w:rsidP="004334F6">
      <w:pPr>
        <w:pStyle w:val="Sinespaciado"/>
        <w:spacing w:line="360" w:lineRule="auto"/>
        <w:ind w:left="567" w:right="616"/>
        <w:jc w:val="both"/>
        <w:rPr>
          <w:rFonts w:ascii="Palatino Linotype" w:hAnsi="Palatino Linotype"/>
          <w:i/>
        </w:rPr>
      </w:pPr>
      <w:r w:rsidRPr="00CD7068">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D7068" w:rsidRPr="00CD7068" w:rsidRDefault="00CD7068" w:rsidP="004334F6">
      <w:pPr>
        <w:pStyle w:val="Sinespaciado"/>
        <w:spacing w:line="360" w:lineRule="auto"/>
        <w:ind w:left="567" w:right="616"/>
        <w:jc w:val="both"/>
        <w:rPr>
          <w:rFonts w:ascii="Palatino Linotype" w:hAnsi="Palatino Linotype"/>
          <w:i/>
        </w:rPr>
      </w:pPr>
      <w:r w:rsidRPr="00CD7068">
        <w:rPr>
          <w:rFonts w:ascii="Palatino Linotype" w:hAnsi="Palatino Linotype"/>
          <w:i/>
        </w:rPr>
        <w:t xml:space="preserve">En atención a la solicitud de información pública registrada con el número de folio 00397/UPVT/IP/2018, que realizó el 4 de junio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w:t>
      </w:r>
      <w:r w:rsidRPr="00CD7068">
        <w:rPr>
          <w:rFonts w:ascii="Palatino Linotype" w:hAnsi="Palatino Linotype"/>
          <w:i/>
        </w:rPr>
        <w:lastRenderedPageBreak/>
        <w:t>de quince días para interponer el recurso de revisión que se señala en los artículos 176,177 y 178 de la Ley de la materia, en caso de considerar que la respuesta es desfavorable a su solicitud.</w:t>
      </w:r>
    </w:p>
    <w:p w:rsidR="00CD7068" w:rsidRPr="00CD7068" w:rsidRDefault="00CD7068" w:rsidP="00CD7068">
      <w:pPr>
        <w:pStyle w:val="Sinespaciado"/>
        <w:spacing w:line="360" w:lineRule="auto"/>
        <w:ind w:left="567" w:right="616"/>
        <w:jc w:val="both"/>
        <w:rPr>
          <w:rFonts w:ascii="Palatino Linotype" w:hAnsi="Palatino Linotype"/>
          <w:i/>
        </w:rPr>
      </w:pPr>
      <w:r w:rsidRPr="00CD7068">
        <w:rPr>
          <w:rFonts w:ascii="Palatino Linotype" w:hAnsi="Palatino Linotype"/>
          <w:i/>
        </w:rPr>
        <w:t>ATENTAMENTE</w:t>
      </w:r>
    </w:p>
    <w:p w:rsidR="004334F6" w:rsidRPr="00D24523" w:rsidRDefault="00CD7068" w:rsidP="004334F6">
      <w:pPr>
        <w:pStyle w:val="Sinespaciado"/>
        <w:spacing w:line="360" w:lineRule="auto"/>
        <w:ind w:left="567" w:right="616"/>
        <w:jc w:val="both"/>
        <w:rPr>
          <w:rFonts w:ascii="Palatino Linotype" w:hAnsi="Palatino Linotype"/>
          <w:i/>
        </w:rPr>
      </w:pPr>
      <w:r w:rsidRPr="00CD7068">
        <w:rPr>
          <w:rFonts w:ascii="Palatino Linotype" w:hAnsi="Palatino Linotype"/>
          <w:i/>
        </w:rPr>
        <w:t>LIC. GABRIELA AVILES OLIVARES</w:t>
      </w:r>
      <w:r>
        <w:rPr>
          <w:rFonts w:ascii="Palatino Linotype" w:hAnsi="Palatino Linotype"/>
          <w:i/>
        </w:rPr>
        <w:t>” (Sic.)</w:t>
      </w:r>
    </w:p>
    <w:p w:rsidR="004334F6" w:rsidRDefault="002F65D3" w:rsidP="00CD7068">
      <w:pPr>
        <w:pStyle w:val="Prrafodelista"/>
        <w:spacing w:line="360" w:lineRule="auto"/>
        <w:ind w:left="0"/>
        <w:jc w:val="both"/>
        <w:rPr>
          <w:rFonts w:ascii="Palatino Linotype" w:hAnsi="Palatino Linotype"/>
          <w:sz w:val="24"/>
          <w:szCs w:val="24"/>
        </w:rPr>
      </w:pPr>
      <w:r>
        <w:rPr>
          <w:rFonts w:ascii="Palatino Linotype" w:hAnsi="Palatino Linotype"/>
          <w:sz w:val="24"/>
          <w:szCs w:val="24"/>
        </w:rPr>
        <w:t xml:space="preserve">Anexado </w:t>
      </w:r>
      <w:r w:rsidRPr="002F65D3">
        <w:rPr>
          <w:rFonts w:ascii="Palatino Linotype" w:hAnsi="Palatino Linotype"/>
          <w:sz w:val="24"/>
          <w:szCs w:val="24"/>
        </w:rPr>
        <w:t xml:space="preserve">los archivos denominados </w:t>
      </w:r>
      <w:hyperlink r:id="rId8" w:tgtFrame="_blank" w:history="1">
        <w:r w:rsidR="00CD7068" w:rsidRPr="004334F6">
          <w:rPr>
            <w:rStyle w:val="Hipervnculo"/>
            <w:rFonts w:ascii="Palatino Linotype" w:hAnsi="Palatino Linotype"/>
            <w:b/>
            <w:bCs/>
            <w:color w:val="000000" w:themeColor="text1"/>
            <w:sz w:val="24"/>
            <w:szCs w:val="24"/>
            <w:u w:val="none"/>
          </w:rPr>
          <w:t>00397UPVTIP2018.pdf</w:t>
        </w:r>
      </w:hyperlink>
      <w:r w:rsidR="00CD7068" w:rsidRPr="004334F6">
        <w:rPr>
          <w:rFonts w:ascii="Palatino Linotype" w:hAnsi="Palatino Linotype"/>
          <w:b/>
          <w:bCs/>
          <w:color w:val="000000" w:themeColor="text1"/>
          <w:sz w:val="24"/>
          <w:szCs w:val="24"/>
        </w:rPr>
        <w:t> </w:t>
      </w:r>
      <w:r w:rsidR="004334F6">
        <w:rPr>
          <w:rFonts w:ascii="Palatino Linotype" w:hAnsi="Palatino Linotype"/>
          <w:b/>
          <w:bCs/>
          <w:color w:val="000000" w:themeColor="text1"/>
          <w:sz w:val="24"/>
          <w:szCs w:val="24"/>
        </w:rPr>
        <w:t xml:space="preserve">y </w:t>
      </w:r>
      <w:hyperlink r:id="rId9" w:tgtFrame="_blank" w:history="1">
        <w:r w:rsidR="004334F6" w:rsidRPr="004334F6">
          <w:rPr>
            <w:rStyle w:val="Hipervnculo"/>
            <w:rFonts w:ascii="Palatino Linotype" w:hAnsi="Palatino Linotype"/>
            <w:b/>
            <w:bCs/>
            <w:color w:val="000000" w:themeColor="text1"/>
            <w:sz w:val="24"/>
            <w:szCs w:val="24"/>
            <w:u w:val="none"/>
          </w:rPr>
          <w:t>SOL 397.pdf</w:t>
        </w:r>
      </w:hyperlink>
      <w:r>
        <w:rPr>
          <w:rFonts w:ascii="Palatino Linotype" w:hAnsi="Palatino Linotype"/>
          <w:sz w:val="24"/>
          <w:szCs w:val="24"/>
        </w:rPr>
        <w:t xml:space="preserve">, los </w:t>
      </w:r>
      <w:r w:rsidRPr="002F65D3">
        <w:rPr>
          <w:rFonts w:ascii="Palatino Linotype" w:hAnsi="Palatino Linotype"/>
          <w:sz w:val="24"/>
          <w:szCs w:val="24"/>
        </w:rPr>
        <w:t>cual</w:t>
      </w:r>
      <w:r>
        <w:rPr>
          <w:rFonts w:ascii="Palatino Linotype" w:hAnsi="Palatino Linotype"/>
          <w:sz w:val="24"/>
          <w:szCs w:val="24"/>
        </w:rPr>
        <w:t>es</w:t>
      </w:r>
      <w:r w:rsidRPr="002F65D3">
        <w:rPr>
          <w:rFonts w:ascii="Palatino Linotype" w:hAnsi="Palatino Linotype"/>
          <w:sz w:val="24"/>
          <w:szCs w:val="24"/>
        </w:rPr>
        <w:t xml:space="preserve"> medularmente señala</w:t>
      </w:r>
      <w:r>
        <w:rPr>
          <w:rFonts w:ascii="Palatino Linotype" w:hAnsi="Palatino Linotype"/>
          <w:sz w:val="24"/>
          <w:szCs w:val="24"/>
        </w:rPr>
        <w:t>n</w:t>
      </w:r>
      <w:r w:rsidRPr="002F65D3">
        <w:rPr>
          <w:rFonts w:ascii="Palatino Linotype" w:hAnsi="Palatino Linotype"/>
          <w:sz w:val="24"/>
          <w:szCs w:val="24"/>
        </w:rPr>
        <w:t xml:space="preserve"> lo </w:t>
      </w:r>
      <w:r>
        <w:rPr>
          <w:rFonts w:ascii="Palatino Linotype" w:hAnsi="Palatino Linotype"/>
          <w:sz w:val="24"/>
          <w:szCs w:val="24"/>
        </w:rPr>
        <w:t>siguiente</w:t>
      </w:r>
      <w:r w:rsidR="004334F6">
        <w:rPr>
          <w:rFonts w:ascii="Palatino Linotype" w:hAnsi="Palatino Linotype"/>
          <w:sz w:val="24"/>
          <w:szCs w:val="24"/>
        </w:rPr>
        <w:t>:</w:t>
      </w:r>
    </w:p>
    <w:p w:rsidR="004334F6" w:rsidRPr="002F65D3" w:rsidRDefault="004334F6" w:rsidP="00CD7068">
      <w:pPr>
        <w:pStyle w:val="Prrafodelista"/>
        <w:spacing w:line="360" w:lineRule="auto"/>
        <w:ind w:left="0"/>
        <w:jc w:val="both"/>
        <w:rPr>
          <w:rFonts w:ascii="Palatino Linotype" w:hAnsi="Palatino Linotype"/>
          <w:sz w:val="24"/>
          <w:szCs w:val="24"/>
        </w:rPr>
      </w:pPr>
    </w:p>
    <w:p w:rsidR="002F65D3" w:rsidRDefault="000D4B17" w:rsidP="004334F6">
      <w:pPr>
        <w:pStyle w:val="Prrafodelista"/>
        <w:numPr>
          <w:ilvl w:val="0"/>
          <w:numId w:val="23"/>
        </w:numPr>
        <w:spacing w:after="0" w:line="360" w:lineRule="auto"/>
        <w:ind w:left="284" w:firstLine="0"/>
        <w:rPr>
          <w:rFonts w:ascii="Palatino Linotype" w:hAnsi="Palatino Linotype"/>
          <w:sz w:val="24"/>
          <w:szCs w:val="24"/>
        </w:rPr>
      </w:pPr>
      <w:hyperlink r:id="rId10" w:tgtFrame="_blank" w:history="1">
        <w:r w:rsidR="002F65D3" w:rsidRPr="002F65D3">
          <w:rPr>
            <w:sz w:val="24"/>
            <w:szCs w:val="24"/>
          </w:rPr>
          <w:t>00396UPVTIP2018.pdf</w:t>
        </w:r>
      </w:hyperlink>
      <w:r w:rsidR="002F65D3" w:rsidRPr="002F65D3">
        <w:rPr>
          <w:rFonts w:ascii="Palatino Linotype" w:hAnsi="Palatino Linotype"/>
          <w:sz w:val="24"/>
          <w:szCs w:val="24"/>
        </w:rPr>
        <w:t>:</w:t>
      </w:r>
    </w:p>
    <w:p w:rsidR="004334F6" w:rsidRDefault="004334F6" w:rsidP="004334F6">
      <w:pPr>
        <w:pStyle w:val="Prrafodelista"/>
        <w:spacing w:after="0" w:line="360" w:lineRule="auto"/>
        <w:ind w:left="284"/>
        <w:rPr>
          <w:rFonts w:ascii="Palatino Linotype" w:hAnsi="Palatino Linotype"/>
          <w:sz w:val="24"/>
          <w:szCs w:val="24"/>
        </w:rPr>
      </w:pPr>
    </w:p>
    <w:p w:rsidR="004334F6" w:rsidRDefault="004334F6" w:rsidP="004334F6">
      <w:pPr>
        <w:pStyle w:val="Prrafodelista"/>
        <w:spacing w:after="0" w:line="360" w:lineRule="auto"/>
        <w:ind w:left="567"/>
        <w:rPr>
          <w:rFonts w:ascii="Palatino Linotype" w:hAnsi="Palatino Linotype"/>
          <w:sz w:val="24"/>
          <w:szCs w:val="24"/>
        </w:rPr>
      </w:pPr>
      <w:r>
        <w:rPr>
          <w:noProof/>
          <w:lang w:eastAsia="es-MX"/>
        </w:rPr>
        <w:lastRenderedPageBreak/>
        <w:drawing>
          <wp:inline distT="0" distB="0" distL="0" distR="0" wp14:anchorId="5A6B38F3" wp14:editId="38B30D4B">
            <wp:extent cx="5038607" cy="3962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246" t="44960" r="32790" b="6156"/>
                    <a:stretch/>
                  </pic:blipFill>
                  <pic:spPr bwMode="auto">
                    <a:xfrm>
                      <a:off x="0" y="0"/>
                      <a:ext cx="5045247" cy="3967621"/>
                    </a:xfrm>
                    <a:prstGeom prst="rect">
                      <a:avLst/>
                    </a:prstGeom>
                    <a:ln>
                      <a:noFill/>
                    </a:ln>
                    <a:extLst>
                      <a:ext uri="{53640926-AAD7-44D8-BBD7-CCE9431645EC}">
                        <a14:shadowObscured xmlns:a14="http://schemas.microsoft.com/office/drawing/2010/main"/>
                      </a:ext>
                    </a:extLst>
                  </pic:spPr>
                </pic:pic>
              </a:graphicData>
            </a:graphic>
          </wp:inline>
        </w:drawing>
      </w:r>
    </w:p>
    <w:p w:rsidR="004334F6" w:rsidRDefault="000D4B17" w:rsidP="004334F6">
      <w:pPr>
        <w:pStyle w:val="Prrafodelista"/>
        <w:numPr>
          <w:ilvl w:val="0"/>
          <w:numId w:val="23"/>
        </w:numPr>
        <w:spacing w:after="0" w:line="360" w:lineRule="auto"/>
        <w:rPr>
          <w:rFonts w:ascii="Palatino Linotype" w:hAnsi="Palatino Linotype"/>
          <w:color w:val="000000" w:themeColor="text1"/>
          <w:sz w:val="24"/>
          <w:szCs w:val="24"/>
        </w:rPr>
      </w:pPr>
      <w:hyperlink r:id="rId12" w:tgtFrame="_blank" w:history="1">
        <w:r w:rsidR="004334F6" w:rsidRPr="004334F6">
          <w:rPr>
            <w:rStyle w:val="Hipervnculo"/>
            <w:rFonts w:ascii="Palatino Linotype" w:hAnsi="Palatino Linotype"/>
            <w:b/>
            <w:bCs/>
            <w:color w:val="000000" w:themeColor="text1"/>
            <w:sz w:val="24"/>
            <w:szCs w:val="24"/>
            <w:u w:val="none"/>
          </w:rPr>
          <w:t>SOL 397.pdf</w:t>
        </w:r>
      </w:hyperlink>
    </w:p>
    <w:p w:rsidR="004334F6" w:rsidRDefault="004334F6" w:rsidP="004334F6">
      <w:pPr>
        <w:pStyle w:val="Prrafodelista"/>
        <w:spacing w:after="0" w:line="360" w:lineRule="auto"/>
        <w:ind w:left="709" w:hanging="142"/>
        <w:rPr>
          <w:rFonts w:ascii="Palatino Linotype" w:hAnsi="Palatino Linotype"/>
          <w:color w:val="000000" w:themeColor="text1"/>
          <w:sz w:val="24"/>
          <w:szCs w:val="24"/>
        </w:rPr>
      </w:pPr>
      <w:bookmarkStart w:id="2" w:name="_GoBack"/>
      <w:bookmarkEnd w:id="2"/>
      <w:r>
        <w:rPr>
          <w:noProof/>
          <w:lang w:eastAsia="es-MX"/>
        </w:rPr>
        <w:lastRenderedPageBreak/>
        <w:drawing>
          <wp:inline distT="0" distB="0" distL="0" distR="0" wp14:anchorId="737BF996" wp14:editId="44AE30A4">
            <wp:extent cx="5257800" cy="4343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077" t="34701" r="32790" b="13699"/>
                    <a:stretch/>
                  </pic:blipFill>
                  <pic:spPr bwMode="auto">
                    <a:xfrm>
                      <a:off x="0" y="0"/>
                      <a:ext cx="5272116" cy="4355226"/>
                    </a:xfrm>
                    <a:prstGeom prst="rect">
                      <a:avLst/>
                    </a:prstGeom>
                    <a:ln>
                      <a:noFill/>
                    </a:ln>
                    <a:extLst>
                      <a:ext uri="{53640926-AAD7-44D8-BBD7-CCE9431645EC}">
                        <a14:shadowObscured xmlns:a14="http://schemas.microsoft.com/office/drawing/2010/main"/>
                      </a:ext>
                    </a:extLst>
                  </pic:spPr>
                </pic:pic>
              </a:graphicData>
            </a:graphic>
          </wp:inline>
        </w:drawing>
      </w:r>
    </w:p>
    <w:p w:rsidR="004334F6" w:rsidRPr="004334F6" w:rsidRDefault="004334F6" w:rsidP="004334F6">
      <w:pPr>
        <w:spacing w:after="0" w:line="360" w:lineRule="auto"/>
        <w:ind w:left="720"/>
        <w:rPr>
          <w:rFonts w:ascii="Palatino Linotype" w:hAnsi="Palatino Linotype"/>
          <w:color w:val="000000" w:themeColor="text1"/>
          <w:sz w:val="24"/>
          <w:szCs w:val="24"/>
        </w:rPr>
      </w:pPr>
    </w:p>
    <w:p w:rsidR="002F65D3" w:rsidRPr="002F65D3" w:rsidRDefault="002F65D3" w:rsidP="005C12D7">
      <w:pPr>
        <w:pStyle w:val="Prrafodelista"/>
        <w:spacing w:after="0" w:line="360" w:lineRule="auto"/>
        <w:ind w:left="360"/>
        <w:jc w:val="center"/>
        <w:rPr>
          <w:sz w:val="24"/>
          <w:szCs w:val="24"/>
        </w:rPr>
      </w:pPr>
    </w:p>
    <w:p w:rsidR="005C12D7" w:rsidRPr="005C12D7" w:rsidRDefault="005C12D7" w:rsidP="005C12D7">
      <w:pPr>
        <w:pStyle w:val="Prrafodelista"/>
        <w:spacing w:line="360" w:lineRule="auto"/>
        <w:ind w:left="360"/>
        <w:jc w:val="both"/>
        <w:rPr>
          <w:sz w:val="10"/>
        </w:rPr>
      </w:pPr>
    </w:p>
    <w:p w:rsidR="00D24523" w:rsidRPr="00FA7788" w:rsidRDefault="00D24523" w:rsidP="004334F6">
      <w:pPr>
        <w:pStyle w:val="Prrafodelista"/>
        <w:numPr>
          <w:ilvl w:val="0"/>
          <w:numId w:val="8"/>
        </w:numPr>
        <w:spacing w:line="360" w:lineRule="auto"/>
        <w:ind w:left="0" w:firstLine="0"/>
        <w:jc w:val="both"/>
      </w:pPr>
      <w:r w:rsidRPr="00FA7788">
        <w:rPr>
          <w:rFonts w:ascii="Palatino Linotype" w:hAnsi="Palatino Linotype"/>
          <w:sz w:val="24"/>
          <w:szCs w:val="24"/>
        </w:rPr>
        <w:t xml:space="preserve">Derivado de lo anterior, la </w:t>
      </w:r>
      <w:r w:rsidRPr="00FA7788">
        <w:rPr>
          <w:rFonts w:ascii="Palatino Linotype" w:hAnsi="Palatino Linotype"/>
          <w:b/>
          <w:sz w:val="24"/>
          <w:szCs w:val="24"/>
        </w:rPr>
        <w:t>RECURRENTE</w:t>
      </w:r>
      <w:r w:rsidRPr="00FA7788">
        <w:rPr>
          <w:rFonts w:ascii="Palatino Linotype" w:hAnsi="Palatino Linotype"/>
          <w:sz w:val="24"/>
          <w:szCs w:val="24"/>
        </w:rPr>
        <w:t xml:space="preserve"> promovió el recurso de revisión </w:t>
      </w:r>
      <w:r w:rsidR="004334F6">
        <w:rPr>
          <w:rFonts w:ascii="Palatino Linotype" w:hAnsi="Palatino Linotype"/>
          <w:b/>
          <w:sz w:val="24"/>
          <w:szCs w:val="24"/>
        </w:rPr>
        <w:t>02536/INFOEM</w:t>
      </w:r>
      <w:r w:rsidRPr="00FA7788">
        <w:rPr>
          <w:rFonts w:ascii="Palatino Linotype" w:hAnsi="Palatino Linotype"/>
          <w:b/>
          <w:sz w:val="24"/>
          <w:szCs w:val="24"/>
        </w:rPr>
        <w:t>/IP/RR/2018</w:t>
      </w:r>
      <w:r w:rsidR="00321D9F">
        <w:rPr>
          <w:rFonts w:ascii="Palatino Linotype" w:hAnsi="Palatino Linotype"/>
          <w:sz w:val="24"/>
          <w:szCs w:val="24"/>
        </w:rPr>
        <w:t xml:space="preserve">, </w:t>
      </w:r>
      <w:r w:rsidRPr="00FA7788">
        <w:rPr>
          <w:rFonts w:ascii="Palatino Linotype" w:hAnsi="Palatino Linotype"/>
          <w:sz w:val="24"/>
          <w:szCs w:val="24"/>
        </w:rPr>
        <w:t>inconformándose</w:t>
      </w:r>
      <w:r w:rsidR="00FA7788" w:rsidRPr="00FA7788">
        <w:rPr>
          <w:rFonts w:ascii="Palatino Linotype" w:hAnsi="Palatino Linotype"/>
          <w:sz w:val="24"/>
          <w:szCs w:val="24"/>
        </w:rPr>
        <w:t xml:space="preserve"> respecto </w:t>
      </w:r>
      <w:r w:rsidR="004334F6">
        <w:rPr>
          <w:rFonts w:ascii="Palatino Linotype" w:hAnsi="Palatino Linotype"/>
          <w:sz w:val="24"/>
          <w:szCs w:val="24"/>
        </w:rPr>
        <w:t xml:space="preserve">de la negación de información así como de la contradicción de respuestas. </w:t>
      </w:r>
    </w:p>
    <w:p w:rsidR="00FA7788" w:rsidRPr="00D24523" w:rsidRDefault="00FA7788" w:rsidP="00FA7788">
      <w:pPr>
        <w:pStyle w:val="Prrafodelista"/>
        <w:spacing w:line="360" w:lineRule="auto"/>
        <w:ind w:left="360"/>
        <w:jc w:val="both"/>
      </w:pPr>
    </w:p>
    <w:p w:rsidR="004759E5" w:rsidRPr="00321D9F" w:rsidRDefault="00D24523" w:rsidP="004334F6">
      <w:pPr>
        <w:pStyle w:val="Prrafodelista"/>
        <w:numPr>
          <w:ilvl w:val="0"/>
          <w:numId w:val="8"/>
        </w:numPr>
        <w:spacing w:line="360" w:lineRule="auto"/>
        <w:ind w:left="0" w:firstLine="0"/>
        <w:jc w:val="both"/>
        <w:rPr>
          <w:rFonts w:ascii="Palatino Linotype" w:hAnsi="Palatino Linotype"/>
          <w:sz w:val="24"/>
        </w:rPr>
      </w:pPr>
      <w:r w:rsidRPr="00321D9F">
        <w:rPr>
          <w:rFonts w:ascii="Palatino Linotype" w:hAnsi="Palatino Linotype"/>
          <w:sz w:val="24"/>
        </w:rPr>
        <w:t xml:space="preserve">Posteriormente, </w:t>
      </w:r>
      <w:r w:rsidR="00FA7788" w:rsidRPr="00321D9F">
        <w:rPr>
          <w:rFonts w:ascii="Palatino Linotype" w:hAnsi="Palatino Linotype"/>
          <w:sz w:val="24"/>
        </w:rPr>
        <w:t xml:space="preserve">en la etapa de manifestaciones, el Sujeto Obligado por medio de su </w:t>
      </w:r>
      <w:r w:rsidRPr="00321D9F">
        <w:rPr>
          <w:rFonts w:ascii="Palatino Linotype" w:hAnsi="Palatino Linotype"/>
          <w:sz w:val="24"/>
        </w:rPr>
        <w:t>Informe Justificado</w:t>
      </w:r>
      <w:r w:rsidR="00FA7788" w:rsidRPr="00321D9F">
        <w:rPr>
          <w:rFonts w:ascii="Palatino Linotype" w:hAnsi="Palatino Linotype"/>
          <w:sz w:val="24"/>
        </w:rPr>
        <w:t xml:space="preserve"> ratifico su respuesta inicial. </w:t>
      </w:r>
    </w:p>
    <w:p w:rsidR="004334F6" w:rsidRPr="00321D9F" w:rsidRDefault="004334F6" w:rsidP="004334F6">
      <w:pPr>
        <w:pStyle w:val="Prrafodelista"/>
        <w:spacing w:line="360" w:lineRule="auto"/>
        <w:ind w:left="0"/>
        <w:jc w:val="both"/>
        <w:rPr>
          <w:rFonts w:ascii="Palatino Linotype" w:hAnsi="Palatino Linotype"/>
          <w:sz w:val="24"/>
        </w:rPr>
      </w:pPr>
    </w:p>
    <w:p w:rsidR="00D24523" w:rsidRPr="00321D9F" w:rsidRDefault="004759E5" w:rsidP="004334F6">
      <w:pPr>
        <w:pStyle w:val="Prrafodelista"/>
        <w:numPr>
          <w:ilvl w:val="0"/>
          <w:numId w:val="8"/>
        </w:numPr>
        <w:spacing w:line="360" w:lineRule="auto"/>
        <w:ind w:left="0" w:firstLine="0"/>
        <w:jc w:val="both"/>
        <w:rPr>
          <w:rFonts w:ascii="Palatino Linotype" w:hAnsi="Palatino Linotype"/>
          <w:sz w:val="24"/>
        </w:rPr>
      </w:pPr>
      <w:r w:rsidRPr="00321D9F">
        <w:rPr>
          <w:rFonts w:ascii="Palatino Linotype" w:hAnsi="Palatino Linotype"/>
          <w:sz w:val="24"/>
        </w:rPr>
        <w:t xml:space="preserve">Así, una vez analizado el contenido de la respuesta y el informe justificado, la Ponencia Resolutora </w:t>
      </w:r>
      <w:r w:rsidR="00FA7788" w:rsidRPr="00321D9F">
        <w:rPr>
          <w:rFonts w:ascii="Palatino Linotype" w:hAnsi="Palatino Linotype"/>
          <w:sz w:val="24"/>
        </w:rPr>
        <w:t xml:space="preserve">determinó que </w:t>
      </w:r>
      <w:r w:rsidR="00FA7788" w:rsidRPr="00321D9F">
        <w:rPr>
          <w:rFonts w:ascii="Palatino Linotype" w:hAnsi="Palatino Linotype"/>
          <w:color w:val="000000"/>
          <w:sz w:val="24"/>
        </w:rPr>
        <w:t>el agravio de la particular es infundado, lo que conlleva a confirmar la respuesta</w:t>
      </w:r>
      <w:r w:rsidR="007D3889" w:rsidRPr="00321D9F">
        <w:rPr>
          <w:rFonts w:ascii="Palatino Linotype" w:hAnsi="Palatino Linotype"/>
          <w:color w:val="000000"/>
          <w:sz w:val="24"/>
        </w:rPr>
        <w:t xml:space="preserve"> del Sujeto Obligado</w:t>
      </w:r>
      <w:r w:rsidRPr="00321D9F">
        <w:rPr>
          <w:rFonts w:ascii="Palatino Linotype" w:hAnsi="Palatino Linotype"/>
          <w:sz w:val="24"/>
        </w:rPr>
        <w:t>.</w:t>
      </w:r>
    </w:p>
    <w:p w:rsidR="00872293" w:rsidRPr="004759E5" w:rsidRDefault="00872293" w:rsidP="00872293">
      <w:pPr>
        <w:pStyle w:val="Prrafodelista"/>
        <w:spacing w:line="360" w:lineRule="auto"/>
        <w:ind w:left="0"/>
        <w:jc w:val="both"/>
        <w:rPr>
          <w:rFonts w:ascii="Palatino Linotype" w:hAnsi="Palatino Linotype"/>
        </w:rPr>
      </w:pPr>
    </w:p>
    <w:p w:rsidR="00B35DFF" w:rsidRPr="00835513" w:rsidRDefault="001B72BB" w:rsidP="004759E5">
      <w:pPr>
        <w:pStyle w:val="Ttulo1"/>
        <w:jc w:val="both"/>
        <w:rPr>
          <w:rFonts w:ascii="Palatino Linotype" w:hAnsi="Palatino Linotype"/>
          <w:b/>
          <w:color w:val="auto"/>
          <w:sz w:val="24"/>
        </w:rPr>
      </w:pPr>
      <w:bookmarkStart w:id="3" w:name="_Toc524953356"/>
      <w:r>
        <w:rPr>
          <w:rFonts w:ascii="Palatino Linotype" w:hAnsi="Palatino Linotype"/>
          <w:b/>
          <w:color w:val="auto"/>
          <w:sz w:val="24"/>
        </w:rPr>
        <w:t>III. L</w:t>
      </w:r>
      <w:r w:rsidR="001A2574">
        <w:rPr>
          <w:rFonts w:ascii="Palatino Linotype" w:hAnsi="Palatino Linotype"/>
          <w:b/>
          <w:color w:val="auto"/>
          <w:sz w:val="24"/>
        </w:rPr>
        <w:t xml:space="preserve">a </w:t>
      </w:r>
      <w:r w:rsidR="004759E5">
        <w:rPr>
          <w:rFonts w:ascii="Palatino Linotype" w:hAnsi="Palatino Linotype"/>
          <w:b/>
          <w:color w:val="auto"/>
          <w:sz w:val="24"/>
        </w:rPr>
        <w:t>oportunidad de corregir errores inmersos en las bases de información de los Sujetos Obligados gracias a solicitudes de acceso a la información promovidas por la ciudadanía.</w:t>
      </w:r>
      <w:bookmarkEnd w:id="3"/>
    </w:p>
    <w:p w:rsidR="00B35DFF" w:rsidRPr="00BB0BA5" w:rsidRDefault="00B35DFF" w:rsidP="00B35DFF">
      <w:pPr>
        <w:pStyle w:val="Prrafodelista"/>
        <w:spacing w:line="360" w:lineRule="auto"/>
        <w:ind w:left="1080"/>
        <w:jc w:val="both"/>
        <w:rPr>
          <w:rFonts w:ascii="Palatino Linotype" w:hAnsi="Palatino Linotype"/>
          <w:b/>
          <w:sz w:val="24"/>
          <w:szCs w:val="24"/>
        </w:rPr>
      </w:pPr>
    </w:p>
    <w:p w:rsidR="001A2574" w:rsidRPr="001A2574" w:rsidRDefault="00B35DFF" w:rsidP="00872293">
      <w:pPr>
        <w:pStyle w:val="Prrafodelista"/>
        <w:numPr>
          <w:ilvl w:val="0"/>
          <w:numId w:val="8"/>
        </w:numPr>
        <w:spacing w:line="360" w:lineRule="auto"/>
        <w:ind w:left="0" w:firstLine="0"/>
        <w:jc w:val="both"/>
        <w:rPr>
          <w:rFonts w:ascii="Palatino Linotype" w:hAnsi="Palatino Linotype"/>
          <w:sz w:val="24"/>
          <w:szCs w:val="24"/>
        </w:rPr>
      </w:pPr>
      <w:r w:rsidRPr="00BB0BA5">
        <w:rPr>
          <w:rFonts w:ascii="Palatino Linotype" w:hAnsi="Palatino Linotype"/>
          <w:sz w:val="24"/>
          <w:szCs w:val="24"/>
        </w:rPr>
        <w:t>Mi opinión particular se deriva de un</w:t>
      </w:r>
      <w:r w:rsidR="00321D9F">
        <w:rPr>
          <w:rFonts w:ascii="Palatino Linotype" w:hAnsi="Palatino Linotype"/>
          <w:sz w:val="24"/>
          <w:szCs w:val="24"/>
        </w:rPr>
        <w:t xml:space="preserve"> hecho de especial importancia, l</w:t>
      </w:r>
      <w:r w:rsidR="004759E5">
        <w:rPr>
          <w:rFonts w:ascii="Palatino Linotype" w:hAnsi="Palatino Linotype"/>
          <w:sz w:val="24"/>
          <w:szCs w:val="24"/>
        </w:rPr>
        <w:t xml:space="preserve">a solicitud de información </w:t>
      </w:r>
      <w:r w:rsidR="004759E5">
        <w:rPr>
          <w:rFonts w:ascii="Palatino Linotype" w:hAnsi="Palatino Linotype"/>
          <w:b/>
          <w:sz w:val="24"/>
          <w:szCs w:val="24"/>
        </w:rPr>
        <w:t>00</w:t>
      </w:r>
      <w:r w:rsidR="00872293">
        <w:rPr>
          <w:rFonts w:ascii="Palatino Linotype" w:hAnsi="Palatino Linotype"/>
          <w:b/>
          <w:sz w:val="24"/>
          <w:szCs w:val="24"/>
        </w:rPr>
        <w:t>397</w:t>
      </w:r>
      <w:r w:rsidR="004948E1">
        <w:rPr>
          <w:rFonts w:ascii="Palatino Linotype" w:hAnsi="Palatino Linotype"/>
          <w:b/>
          <w:sz w:val="24"/>
          <w:szCs w:val="24"/>
        </w:rPr>
        <w:t xml:space="preserve">/UPVT/IP/2018, </w:t>
      </w:r>
      <w:r w:rsidR="00321D9F">
        <w:rPr>
          <w:rFonts w:ascii="Palatino Linotype" w:hAnsi="Palatino Linotype"/>
          <w:sz w:val="24"/>
          <w:szCs w:val="24"/>
        </w:rPr>
        <w:t>la cual</w:t>
      </w:r>
      <w:r w:rsidR="004948E1">
        <w:rPr>
          <w:rFonts w:ascii="Palatino Linotype" w:hAnsi="Palatino Linotype"/>
          <w:sz w:val="24"/>
          <w:szCs w:val="24"/>
        </w:rPr>
        <w:t xml:space="preserve"> según se aprecia</w:t>
      </w:r>
      <w:r w:rsidR="00321D9F">
        <w:rPr>
          <w:rFonts w:ascii="Palatino Linotype" w:hAnsi="Palatino Linotype"/>
          <w:sz w:val="24"/>
          <w:szCs w:val="24"/>
        </w:rPr>
        <w:t xml:space="preserve"> </w:t>
      </w:r>
      <w:r w:rsidR="004759E5">
        <w:rPr>
          <w:rFonts w:ascii="Palatino Linotype" w:hAnsi="Palatino Linotype"/>
          <w:sz w:val="24"/>
          <w:szCs w:val="24"/>
        </w:rPr>
        <w:t>permitió corregir un error inmerso en</w:t>
      </w:r>
      <w:r w:rsidR="004948E1">
        <w:rPr>
          <w:rFonts w:ascii="Palatino Linotype" w:hAnsi="Palatino Linotype"/>
          <w:sz w:val="24"/>
          <w:szCs w:val="24"/>
        </w:rPr>
        <w:t xml:space="preserve"> la plataforma de Información Pública de Oficio Mexiquense (IPOMEX), pues mediante esta se pudo obtener certeza sobre la información que se publica sobre el </w:t>
      </w:r>
      <w:r w:rsidR="00474F74">
        <w:rPr>
          <w:rFonts w:ascii="Palatino Linotype" w:hAnsi="Palatino Linotype"/>
          <w:sz w:val="24"/>
          <w:szCs w:val="24"/>
        </w:rPr>
        <w:t xml:space="preserve"> cargo de </w:t>
      </w:r>
      <w:r w:rsidR="004948E1" w:rsidRPr="004948E1">
        <w:rPr>
          <w:rFonts w:ascii="Palatino Linotype" w:hAnsi="Palatino Linotype"/>
          <w:i/>
          <w:sz w:val="24"/>
          <w:szCs w:val="24"/>
          <w:lang w:val="es-ES"/>
        </w:rPr>
        <w:t>Director de Administración y Finanzas</w:t>
      </w:r>
      <w:r w:rsidR="004948E1">
        <w:rPr>
          <w:rFonts w:ascii="Palatino Linotype" w:hAnsi="Palatino Linotype"/>
          <w:sz w:val="24"/>
          <w:szCs w:val="24"/>
        </w:rPr>
        <w:t xml:space="preserve">, mejorando la </w:t>
      </w:r>
      <w:r w:rsidR="004E200C">
        <w:rPr>
          <w:rFonts w:ascii="Palatino Linotype" w:hAnsi="Palatino Linotype"/>
          <w:sz w:val="24"/>
          <w:szCs w:val="24"/>
        </w:rPr>
        <w:t xml:space="preserve">base de datos que posee, controla y administra el </w:t>
      </w:r>
      <w:r w:rsidR="004E200C">
        <w:rPr>
          <w:rFonts w:ascii="Palatino Linotype" w:hAnsi="Palatino Linotype"/>
          <w:b/>
          <w:sz w:val="24"/>
          <w:szCs w:val="24"/>
        </w:rPr>
        <w:t>SUJETO OBLIGADO.</w:t>
      </w:r>
    </w:p>
    <w:p w:rsidR="00896191" w:rsidRPr="00474F74" w:rsidRDefault="00B35DFF" w:rsidP="00474F74">
      <w:pPr>
        <w:pStyle w:val="Prrafodelista"/>
        <w:spacing w:line="360" w:lineRule="auto"/>
        <w:ind w:left="360"/>
        <w:jc w:val="both"/>
        <w:rPr>
          <w:rFonts w:ascii="Palatino Linotype" w:hAnsi="Palatino Linotype"/>
          <w:sz w:val="24"/>
          <w:szCs w:val="24"/>
        </w:rPr>
      </w:pPr>
      <w:r w:rsidRPr="00BB0BA5">
        <w:rPr>
          <w:rFonts w:ascii="Palatino Linotype" w:hAnsi="Palatino Linotype"/>
          <w:sz w:val="24"/>
          <w:szCs w:val="24"/>
        </w:rPr>
        <w:t xml:space="preserve"> </w:t>
      </w:r>
    </w:p>
    <w:p w:rsidR="00594D8C" w:rsidRDefault="001B7E4C" w:rsidP="00CB057E">
      <w:pPr>
        <w:pStyle w:val="Prrafodelista"/>
        <w:numPr>
          <w:ilvl w:val="0"/>
          <w:numId w:val="8"/>
        </w:numPr>
        <w:spacing w:line="360" w:lineRule="auto"/>
        <w:ind w:left="0" w:firstLine="0"/>
        <w:jc w:val="both"/>
        <w:rPr>
          <w:rFonts w:ascii="Palatino Linotype" w:hAnsi="Palatino Linotype"/>
          <w:sz w:val="24"/>
          <w:szCs w:val="24"/>
        </w:rPr>
      </w:pPr>
      <w:r w:rsidRPr="00594D8C">
        <w:rPr>
          <w:rFonts w:ascii="Palatino Linotype" w:hAnsi="Palatino Linotype"/>
          <w:sz w:val="24"/>
          <w:szCs w:val="24"/>
        </w:rPr>
        <w:t xml:space="preserve">Hechos que mi Ponencia reconoce como una acción positiva por parte del </w:t>
      </w:r>
      <w:r w:rsidR="00237242" w:rsidRPr="00594D8C">
        <w:rPr>
          <w:rFonts w:ascii="Palatino Linotype" w:hAnsi="Palatino Linotype"/>
          <w:sz w:val="24"/>
          <w:szCs w:val="24"/>
        </w:rPr>
        <w:t xml:space="preserve">Sujeto Obligado </w:t>
      </w:r>
      <w:r w:rsidRPr="00594D8C">
        <w:rPr>
          <w:rFonts w:ascii="Palatino Linotype" w:hAnsi="Palatino Linotype"/>
          <w:sz w:val="24"/>
          <w:szCs w:val="24"/>
        </w:rPr>
        <w:t>al aprovechar la solicitud de informac</w:t>
      </w:r>
      <w:r w:rsidR="00474F74">
        <w:rPr>
          <w:rFonts w:ascii="Palatino Linotype" w:hAnsi="Palatino Linotype"/>
          <w:sz w:val="24"/>
          <w:szCs w:val="24"/>
        </w:rPr>
        <w:t xml:space="preserve">ión como un medio para subsanar </w:t>
      </w:r>
      <w:r w:rsidR="00546620" w:rsidRPr="00594D8C">
        <w:rPr>
          <w:rFonts w:ascii="Palatino Linotype" w:hAnsi="Palatino Linotype"/>
          <w:sz w:val="24"/>
          <w:szCs w:val="24"/>
        </w:rPr>
        <w:t xml:space="preserve">errores </w:t>
      </w:r>
      <w:r w:rsidRPr="00594D8C">
        <w:rPr>
          <w:rFonts w:ascii="Palatino Linotype" w:hAnsi="Palatino Linotype"/>
          <w:sz w:val="24"/>
          <w:szCs w:val="24"/>
        </w:rPr>
        <w:t>interno</w:t>
      </w:r>
      <w:r w:rsidR="00D303BE" w:rsidRPr="00594D8C">
        <w:rPr>
          <w:rFonts w:ascii="Palatino Linotype" w:hAnsi="Palatino Linotype"/>
          <w:sz w:val="24"/>
          <w:szCs w:val="24"/>
        </w:rPr>
        <w:t>s</w:t>
      </w:r>
      <w:r w:rsidRPr="00594D8C">
        <w:rPr>
          <w:rFonts w:ascii="Palatino Linotype" w:hAnsi="Palatino Linotype"/>
          <w:sz w:val="24"/>
          <w:szCs w:val="24"/>
        </w:rPr>
        <w:t xml:space="preserve"> merame</w:t>
      </w:r>
      <w:r w:rsidR="004948E1" w:rsidRPr="00594D8C">
        <w:rPr>
          <w:rFonts w:ascii="Palatino Linotype" w:hAnsi="Palatino Linotype"/>
          <w:sz w:val="24"/>
          <w:szCs w:val="24"/>
        </w:rPr>
        <w:t>nte administrativo</w:t>
      </w:r>
      <w:r w:rsidR="00474F74">
        <w:rPr>
          <w:rFonts w:ascii="Palatino Linotype" w:hAnsi="Palatino Linotype"/>
          <w:sz w:val="24"/>
          <w:szCs w:val="24"/>
        </w:rPr>
        <w:t>s</w:t>
      </w:r>
      <w:r w:rsidR="004948E1" w:rsidRPr="00594D8C">
        <w:rPr>
          <w:rFonts w:ascii="Palatino Linotype" w:hAnsi="Palatino Linotype"/>
          <w:sz w:val="24"/>
          <w:szCs w:val="24"/>
        </w:rPr>
        <w:t xml:space="preserve"> y corregirlo</w:t>
      </w:r>
      <w:r w:rsidR="00546620" w:rsidRPr="00594D8C">
        <w:rPr>
          <w:rFonts w:ascii="Palatino Linotype" w:hAnsi="Palatino Linotype"/>
          <w:sz w:val="24"/>
          <w:szCs w:val="24"/>
        </w:rPr>
        <w:t>s</w:t>
      </w:r>
      <w:r w:rsidR="004948E1" w:rsidRPr="00594D8C">
        <w:rPr>
          <w:rFonts w:ascii="Palatino Linotype" w:hAnsi="Palatino Linotype"/>
          <w:sz w:val="24"/>
          <w:szCs w:val="24"/>
        </w:rPr>
        <w:t xml:space="preserve">, sin embargo, es necesario </w:t>
      </w:r>
      <w:r w:rsidR="00594D8C" w:rsidRPr="00594D8C">
        <w:rPr>
          <w:rFonts w:ascii="Palatino Linotype" w:hAnsi="Palatino Linotype"/>
          <w:sz w:val="24"/>
          <w:szCs w:val="24"/>
        </w:rPr>
        <w:t xml:space="preserve">precisar </w:t>
      </w:r>
      <w:r w:rsidR="004948E1" w:rsidRPr="00594D8C">
        <w:rPr>
          <w:rFonts w:ascii="Palatino Linotype" w:hAnsi="Palatino Linotype"/>
          <w:sz w:val="24"/>
          <w:szCs w:val="24"/>
        </w:rPr>
        <w:t>que no es la única ve</w:t>
      </w:r>
      <w:r w:rsidR="00D303BE" w:rsidRPr="00594D8C">
        <w:rPr>
          <w:rFonts w:ascii="Palatino Linotype" w:hAnsi="Palatino Linotype"/>
          <w:sz w:val="24"/>
          <w:szCs w:val="24"/>
        </w:rPr>
        <w:t>z</w:t>
      </w:r>
      <w:r w:rsidR="004948E1" w:rsidRPr="00594D8C">
        <w:rPr>
          <w:rFonts w:ascii="Palatino Linotype" w:hAnsi="Palatino Linotype"/>
          <w:sz w:val="24"/>
          <w:szCs w:val="24"/>
        </w:rPr>
        <w:t xml:space="preserve"> que se presenta</w:t>
      </w:r>
      <w:r w:rsidR="00546620" w:rsidRPr="00594D8C">
        <w:rPr>
          <w:rFonts w:ascii="Palatino Linotype" w:hAnsi="Palatino Linotype"/>
          <w:sz w:val="24"/>
          <w:szCs w:val="24"/>
        </w:rPr>
        <w:t xml:space="preserve"> dicho acontecimiento</w:t>
      </w:r>
      <w:r w:rsidR="004948E1" w:rsidRPr="00594D8C">
        <w:rPr>
          <w:rFonts w:ascii="Palatino Linotype" w:hAnsi="Palatino Linotype"/>
          <w:sz w:val="24"/>
          <w:szCs w:val="24"/>
        </w:rPr>
        <w:t xml:space="preserve">, pues de conformidad con los recursos </w:t>
      </w:r>
      <w:r w:rsidR="00546620" w:rsidRPr="00594D8C">
        <w:rPr>
          <w:rFonts w:ascii="Palatino Linotype" w:hAnsi="Palatino Linotype"/>
          <w:b/>
          <w:sz w:val="24"/>
          <w:szCs w:val="24"/>
        </w:rPr>
        <w:t>02052/INFOEM/IP/RR/2018 y 02539/INFOEM/IP/RR/2018</w:t>
      </w:r>
      <w:r w:rsidR="00546620" w:rsidRPr="00594D8C">
        <w:rPr>
          <w:rFonts w:ascii="Palatino Linotype" w:hAnsi="Palatino Linotype"/>
          <w:sz w:val="24"/>
          <w:szCs w:val="24"/>
        </w:rPr>
        <w:t xml:space="preserve">  que para el caso en concreto constituyen precedente, el </w:t>
      </w:r>
      <w:r w:rsidR="00546620" w:rsidRPr="00594D8C">
        <w:rPr>
          <w:rFonts w:ascii="Palatino Linotype" w:hAnsi="Palatino Linotype"/>
          <w:sz w:val="24"/>
          <w:szCs w:val="24"/>
        </w:rPr>
        <w:lastRenderedPageBreak/>
        <w:t xml:space="preserve">Sujeto Obligado a incurrido en dicha situación reiteradamente, por lo que de la misma forma se puede advertir falta de pericia </w:t>
      </w:r>
      <w:r w:rsidR="00A0438F" w:rsidRPr="00594D8C">
        <w:rPr>
          <w:rFonts w:ascii="Palatino Linotype" w:hAnsi="Palatino Linotype"/>
          <w:sz w:val="24"/>
          <w:szCs w:val="24"/>
        </w:rPr>
        <w:t>en el control</w:t>
      </w:r>
      <w:r w:rsidR="00546620" w:rsidRPr="00594D8C">
        <w:rPr>
          <w:rFonts w:ascii="Palatino Linotype" w:hAnsi="Palatino Linotype"/>
          <w:sz w:val="24"/>
          <w:szCs w:val="24"/>
        </w:rPr>
        <w:t xml:space="preserve"> del </w:t>
      </w:r>
      <w:r w:rsidR="00237242" w:rsidRPr="00594D8C">
        <w:rPr>
          <w:rFonts w:ascii="Palatino Linotype" w:hAnsi="Palatino Linotype"/>
          <w:sz w:val="24"/>
          <w:szCs w:val="24"/>
        </w:rPr>
        <w:t xml:space="preserve">Sistema </w:t>
      </w:r>
      <w:r w:rsidR="00546620" w:rsidRPr="00594D8C">
        <w:rPr>
          <w:rFonts w:ascii="Palatino Linotype" w:hAnsi="Palatino Linotype"/>
          <w:sz w:val="24"/>
          <w:szCs w:val="24"/>
        </w:rPr>
        <w:t xml:space="preserve">de Información Pública de Oficio Mexiquense (IPOMEX), situación que </w:t>
      </w:r>
      <w:r w:rsidR="00A0438F" w:rsidRPr="00594D8C">
        <w:rPr>
          <w:rFonts w:ascii="Palatino Linotype" w:hAnsi="Palatino Linotype"/>
          <w:sz w:val="24"/>
          <w:szCs w:val="24"/>
        </w:rPr>
        <w:t xml:space="preserve">conlleva una alta responsabilidad, pues </w:t>
      </w:r>
      <w:r w:rsidR="00237242" w:rsidRPr="00594D8C">
        <w:rPr>
          <w:rFonts w:ascii="Palatino Linotype" w:hAnsi="Palatino Linotype"/>
          <w:sz w:val="24"/>
          <w:szCs w:val="24"/>
        </w:rPr>
        <w:t xml:space="preserve">dicho sistema </w:t>
      </w:r>
      <w:r w:rsidR="00A0438F" w:rsidRPr="00594D8C">
        <w:rPr>
          <w:rFonts w:ascii="Palatino Linotype" w:hAnsi="Palatino Linotype"/>
          <w:sz w:val="24"/>
          <w:szCs w:val="24"/>
        </w:rPr>
        <w:t>constituye una herramienta</w:t>
      </w:r>
      <w:r w:rsidR="00237242" w:rsidRPr="00594D8C">
        <w:rPr>
          <w:rFonts w:ascii="Palatino Linotype" w:hAnsi="Palatino Linotype"/>
          <w:sz w:val="24"/>
          <w:szCs w:val="24"/>
        </w:rPr>
        <w:t xml:space="preserve"> tecnológica desarrollada por este Instituto de Trasparencia, Acceso a la Información Pública y Protección</w:t>
      </w:r>
      <w:r w:rsidR="00474F74">
        <w:rPr>
          <w:rFonts w:ascii="Palatino Linotype" w:hAnsi="Palatino Linotype"/>
          <w:sz w:val="24"/>
          <w:szCs w:val="24"/>
        </w:rPr>
        <w:t xml:space="preserve"> de Datos Personales, </w:t>
      </w:r>
      <w:r w:rsidR="00237242" w:rsidRPr="00594D8C">
        <w:rPr>
          <w:rFonts w:ascii="Palatino Linotype" w:hAnsi="Palatino Linotype"/>
          <w:sz w:val="24"/>
          <w:szCs w:val="24"/>
        </w:rPr>
        <w:t>que permite a los Sujetos Obligados publicar lo correspondiente a la información pública de oficio contemplada en la ley de la materia, de una forma ágil y de fácil manejo</w:t>
      </w:r>
      <w:r w:rsidR="00474F74">
        <w:rPr>
          <w:rFonts w:ascii="Palatino Linotype" w:hAnsi="Palatino Linotype"/>
          <w:sz w:val="24"/>
          <w:szCs w:val="24"/>
        </w:rPr>
        <w:t>, procurando</w:t>
      </w:r>
      <w:r w:rsidR="00237242" w:rsidRPr="00594D8C">
        <w:rPr>
          <w:rFonts w:ascii="Palatino Linotype" w:hAnsi="Palatino Linotype"/>
          <w:sz w:val="24"/>
          <w:szCs w:val="24"/>
        </w:rPr>
        <w:t xml:space="preserve"> y </w:t>
      </w:r>
      <w:r w:rsidR="00474F74">
        <w:rPr>
          <w:rFonts w:ascii="Palatino Linotype" w:hAnsi="Palatino Linotype"/>
          <w:sz w:val="24"/>
          <w:szCs w:val="24"/>
        </w:rPr>
        <w:t xml:space="preserve">garantizando así el </w:t>
      </w:r>
      <w:r w:rsidR="00237242" w:rsidRPr="00594D8C">
        <w:rPr>
          <w:rFonts w:ascii="Palatino Linotype" w:hAnsi="Palatino Linotype"/>
          <w:sz w:val="24"/>
          <w:szCs w:val="24"/>
        </w:rPr>
        <w:t xml:space="preserve"> </w:t>
      </w:r>
      <w:r w:rsidR="00A0438F" w:rsidRPr="00594D8C">
        <w:rPr>
          <w:rFonts w:ascii="Palatino Linotype" w:hAnsi="Palatino Linotype"/>
          <w:sz w:val="24"/>
          <w:szCs w:val="24"/>
        </w:rPr>
        <w:t>derecho</w:t>
      </w:r>
      <w:r w:rsidR="00474F74">
        <w:rPr>
          <w:rFonts w:ascii="Palatino Linotype" w:hAnsi="Palatino Linotype"/>
          <w:sz w:val="24"/>
          <w:szCs w:val="24"/>
        </w:rPr>
        <w:t xml:space="preserve"> humano</w:t>
      </w:r>
      <w:r w:rsidR="00A0438F" w:rsidRPr="00594D8C">
        <w:rPr>
          <w:rFonts w:ascii="Palatino Linotype" w:hAnsi="Palatino Linotype"/>
          <w:sz w:val="24"/>
          <w:szCs w:val="24"/>
        </w:rPr>
        <w:t xml:space="preserve"> de acceso a la información </w:t>
      </w:r>
      <w:r w:rsidR="00594D8C" w:rsidRPr="00594D8C">
        <w:rPr>
          <w:rFonts w:ascii="Palatino Linotype" w:hAnsi="Palatino Linotype"/>
          <w:sz w:val="24"/>
          <w:szCs w:val="24"/>
        </w:rPr>
        <w:t>pública</w:t>
      </w:r>
      <w:r w:rsidR="00474F74">
        <w:rPr>
          <w:rFonts w:ascii="Palatino Linotype" w:hAnsi="Palatino Linotype"/>
          <w:sz w:val="24"/>
          <w:szCs w:val="24"/>
        </w:rPr>
        <w:t xml:space="preserve">.  </w:t>
      </w:r>
    </w:p>
    <w:p w:rsidR="00594D8C" w:rsidRPr="00474F74" w:rsidRDefault="00594D8C" w:rsidP="00594D8C">
      <w:pPr>
        <w:pStyle w:val="Prrafodelista"/>
        <w:spacing w:line="360" w:lineRule="auto"/>
        <w:ind w:left="0"/>
        <w:jc w:val="both"/>
        <w:rPr>
          <w:rFonts w:ascii="Palatino Linotype" w:hAnsi="Palatino Linotype"/>
          <w:b/>
          <w:color w:val="000000" w:themeColor="text1"/>
          <w:sz w:val="24"/>
          <w:szCs w:val="24"/>
        </w:rPr>
      </w:pPr>
    </w:p>
    <w:p w:rsidR="00594D8C" w:rsidRPr="00474F74" w:rsidRDefault="00474F74" w:rsidP="00474F74">
      <w:pPr>
        <w:pStyle w:val="Ttulo1"/>
        <w:rPr>
          <w:rFonts w:ascii="Palatino Linotype" w:hAnsi="Palatino Linotype"/>
          <w:b/>
          <w:color w:val="000000" w:themeColor="text1"/>
          <w:sz w:val="24"/>
          <w:szCs w:val="24"/>
        </w:rPr>
      </w:pPr>
      <w:bookmarkStart w:id="4" w:name="_Toc499289482"/>
      <w:bookmarkStart w:id="5" w:name="_Toc522533870"/>
      <w:bookmarkStart w:id="6" w:name="_Toc524953357"/>
      <w:r w:rsidRPr="00474F74">
        <w:rPr>
          <w:rFonts w:ascii="Palatino Linotype" w:hAnsi="Palatino Linotype"/>
          <w:b/>
          <w:color w:val="000000" w:themeColor="text1"/>
          <w:sz w:val="24"/>
          <w:szCs w:val="24"/>
        </w:rPr>
        <w:t xml:space="preserve">IV. </w:t>
      </w:r>
      <w:r w:rsidR="00594D8C" w:rsidRPr="00474F74">
        <w:rPr>
          <w:rFonts w:ascii="Palatino Linotype" w:hAnsi="Palatino Linotype"/>
          <w:b/>
          <w:color w:val="000000" w:themeColor="text1"/>
          <w:sz w:val="24"/>
          <w:szCs w:val="24"/>
        </w:rPr>
        <w:t>El derecho de acceso a la información pública.</w:t>
      </w:r>
      <w:bookmarkEnd w:id="4"/>
      <w:bookmarkEnd w:id="5"/>
      <w:bookmarkEnd w:id="6"/>
      <w:r w:rsidR="00594D8C" w:rsidRPr="00474F74">
        <w:rPr>
          <w:rFonts w:ascii="Palatino Linotype" w:hAnsi="Palatino Linotype"/>
          <w:b/>
          <w:color w:val="000000" w:themeColor="text1"/>
          <w:sz w:val="24"/>
          <w:szCs w:val="24"/>
        </w:rPr>
        <w:t xml:space="preserve"> </w:t>
      </w:r>
    </w:p>
    <w:p w:rsidR="00594D8C" w:rsidRPr="00594D8C" w:rsidRDefault="00594D8C" w:rsidP="00594D8C">
      <w:pPr>
        <w:keepNext/>
        <w:keepLines/>
        <w:spacing w:before="40" w:after="0"/>
        <w:ind w:left="1080"/>
        <w:contextualSpacing/>
        <w:outlineLvl w:val="1"/>
        <w:rPr>
          <w:rFonts w:ascii="Palatino Linotype" w:eastAsiaTheme="majorEastAsia" w:hAnsi="Palatino Linotype" w:cs="Arial"/>
          <w:b/>
          <w:iCs/>
          <w:color w:val="000000" w:themeColor="text1"/>
          <w:sz w:val="24"/>
          <w:szCs w:val="24"/>
        </w:rPr>
      </w:pPr>
    </w:p>
    <w:p w:rsidR="00594D8C" w:rsidRPr="00594D8C" w:rsidRDefault="00594D8C" w:rsidP="00594D8C">
      <w:pPr>
        <w:pStyle w:val="Prrafodelista"/>
        <w:numPr>
          <w:ilvl w:val="0"/>
          <w:numId w:val="8"/>
        </w:numPr>
        <w:spacing w:before="240" w:after="0" w:line="360" w:lineRule="auto"/>
        <w:ind w:left="0" w:firstLine="0"/>
        <w:jc w:val="both"/>
        <w:rPr>
          <w:rFonts w:ascii="Palatino Linotype" w:hAnsi="Palatino Linotype" w:cs="Arial"/>
          <w:color w:val="000000" w:themeColor="text1"/>
          <w:sz w:val="24"/>
          <w:szCs w:val="24"/>
        </w:rPr>
      </w:pPr>
      <w:r w:rsidRPr="00594D8C">
        <w:rPr>
          <w:rFonts w:ascii="Palatino Linotype" w:hAnsi="Palatino Linotype" w:cs="Arial"/>
          <w:color w:val="000000" w:themeColor="text1"/>
          <w:sz w:val="24"/>
          <w:szCs w:val="24"/>
        </w:rPr>
        <w:t xml:space="preserve">Como establece el primer párrafo del artículo primero de la Constitución Política de los Estados Unidos Mexicanos, en nuestro país las personas gozan de los derechos reconocidos en dicho instrumento fundamental y en los tratados internacionales, así como de las garantías para su protección. Entre estos derechos se encuentra el derecho de acceso a la información pública reconocido </w:t>
      </w:r>
      <w:r w:rsidRPr="00594D8C">
        <w:rPr>
          <w:rFonts w:ascii="Palatino Linotype" w:eastAsia="Calibri" w:hAnsi="Palatino Linotype" w:cs="Arial"/>
          <w:color w:val="000000" w:themeColor="text1"/>
          <w:sz w:val="24"/>
          <w:szCs w:val="24"/>
          <w:lang w:val="es-ES" w:eastAsia="es-ES"/>
        </w:rPr>
        <w:t xml:space="preserve">en el Pacto de Derechos Civiles y Políticos en su artículo 19.2; en la Convención Americana sobre Derechos Humanos en su artículo 13.1; en el artículo sexto de la Constitución Política de los Estados Unidos Mexicanos y en el artículo quinto de la Constitución del Estado de México. Ya sea que entendamos a los derechos como realidades positivas </w:t>
      </w:r>
      <w:r w:rsidRPr="00594D8C">
        <w:rPr>
          <w:rFonts w:ascii="Palatino Linotype" w:eastAsia="Calibri" w:hAnsi="Palatino Linotype" w:cs="Arial"/>
          <w:color w:val="000000" w:themeColor="text1"/>
          <w:sz w:val="24"/>
          <w:szCs w:val="24"/>
          <w:lang w:val="es-ES" w:eastAsia="es-ES"/>
        </w:rPr>
        <w:lastRenderedPageBreak/>
        <w:t xml:space="preserve">que forman parte de </w:t>
      </w:r>
      <w:r w:rsidRPr="00594D8C">
        <w:rPr>
          <w:rFonts w:ascii="Palatino Linotype" w:eastAsia="Calibri" w:hAnsi="Palatino Linotype" w:cs="Arial"/>
          <w:i/>
          <w:color w:val="000000" w:themeColor="text1"/>
          <w:sz w:val="24"/>
          <w:szCs w:val="24"/>
          <w:lang w:val="es-ES" w:eastAsia="es-ES"/>
        </w:rPr>
        <w:t>la esfera de lo indecidible que</w:t>
      </w:r>
      <w:r w:rsidRPr="00594D8C">
        <w:rPr>
          <w:rFonts w:ascii="Palatino Linotype" w:eastAsia="Calibri" w:hAnsi="Palatino Linotype" w:cs="Arial"/>
          <w:color w:val="000000" w:themeColor="text1"/>
          <w:sz w:val="24"/>
          <w:szCs w:val="24"/>
          <w:lang w:val="es-ES" w:eastAsia="es-ES"/>
        </w:rPr>
        <w:t xml:space="preserve"> o de</w:t>
      </w:r>
      <w:r w:rsidRPr="00594D8C">
        <w:rPr>
          <w:rFonts w:ascii="Palatino Linotype" w:eastAsia="Calibri" w:hAnsi="Palatino Linotype" w:cs="Arial"/>
          <w:i/>
          <w:color w:val="000000" w:themeColor="text1"/>
          <w:sz w:val="24"/>
          <w:szCs w:val="24"/>
          <w:lang w:val="es-ES" w:eastAsia="es-ES"/>
        </w:rPr>
        <w:t xml:space="preserve"> lo indecidible que no</w:t>
      </w:r>
      <w:r w:rsidRPr="00594D8C">
        <w:rPr>
          <w:rFonts w:eastAsia="Calibri"/>
          <w:i/>
          <w:vertAlign w:val="superscript"/>
          <w:lang w:val="es-ES" w:eastAsia="es-ES"/>
        </w:rPr>
        <w:footnoteReference w:id="1"/>
      </w:r>
      <w:r w:rsidRPr="00594D8C">
        <w:rPr>
          <w:rFonts w:ascii="Palatino Linotype" w:eastAsia="Calibri" w:hAnsi="Palatino Linotype" w:cs="Arial"/>
          <w:color w:val="000000" w:themeColor="text1"/>
          <w:sz w:val="24"/>
          <w:szCs w:val="24"/>
          <w:lang w:val="es-ES" w:eastAsia="es-ES"/>
        </w:rPr>
        <w:t xml:space="preserve"> o bien como principios que constituyen </w:t>
      </w:r>
      <w:r w:rsidRPr="00594D8C">
        <w:rPr>
          <w:rFonts w:ascii="Palatino Linotype" w:eastAsia="Calibri" w:hAnsi="Palatino Linotype" w:cs="Arial"/>
          <w:i/>
          <w:color w:val="000000" w:themeColor="text1"/>
          <w:sz w:val="24"/>
          <w:szCs w:val="24"/>
          <w:lang w:val="es-ES" w:eastAsia="es-ES"/>
        </w:rPr>
        <w:t>mandatos de optimización</w:t>
      </w:r>
      <w:r w:rsidRPr="00594D8C">
        <w:rPr>
          <w:rFonts w:ascii="Palatino Linotype" w:eastAsia="Calibri" w:hAnsi="Palatino Linotype" w:cs="Arial"/>
          <w:color w:val="000000" w:themeColor="text1"/>
          <w:sz w:val="24"/>
          <w:szCs w:val="24"/>
          <w:lang w:val="es-ES" w:eastAsia="es-ES"/>
        </w:rPr>
        <w:t>,</w:t>
      </w:r>
      <w:r w:rsidRPr="00594D8C">
        <w:rPr>
          <w:rFonts w:eastAsia="Calibri"/>
          <w:vertAlign w:val="superscript"/>
          <w:lang w:val="es-ES" w:eastAsia="es-ES"/>
        </w:rPr>
        <w:footnoteReference w:id="2"/>
      </w:r>
      <w:r w:rsidRPr="00594D8C">
        <w:rPr>
          <w:rFonts w:ascii="Palatino Linotype" w:eastAsia="Calibri" w:hAnsi="Palatino Linotype" w:cs="Arial"/>
          <w:color w:val="000000" w:themeColor="text1"/>
          <w:sz w:val="24"/>
          <w:szCs w:val="24"/>
          <w:lang w:val="es-ES" w:eastAsia="es-ES"/>
        </w:rPr>
        <w:t xml:space="preserve"> lo cierto es que son piedra cardinal en el Estado Constitucional de Derecho que estamos llamados a hacer prevalecer en nuestro país.</w:t>
      </w:r>
    </w:p>
    <w:p w:rsidR="00594D8C" w:rsidRPr="00594D8C" w:rsidRDefault="00594D8C" w:rsidP="00474F74">
      <w:pPr>
        <w:numPr>
          <w:ilvl w:val="0"/>
          <w:numId w:val="8"/>
        </w:numPr>
        <w:spacing w:before="240" w:after="0" w:line="360" w:lineRule="auto"/>
        <w:ind w:left="0" w:firstLine="0"/>
        <w:contextualSpacing/>
        <w:jc w:val="both"/>
        <w:rPr>
          <w:rFonts w:ascii="Palatino Linotype" w:hAnsi="Palatino Linotype" w:cs="Arial"/>
          <w:color w:val="000000" w:themeColor="text1"/>
          <w:sz w:val="24"/>
          <w:szCs w:val="24"/>
        </w:rPr>
      </w:pPr>
      <w:r w:rsidRPr="00594D8C">
        <w:rPr>
          <w:rFonts w:ascii="Palatino Linotype" w:eastAsia="Calibri" w:hAnsi="Palatino Linotype" w:cs="Arial"/>
          <w:color w:val="000000" w:themeColor="text1"/>
          <w:sz w:val="24"/>
          <w:szCs w:val="24"/>
          <w:lang w:val="es-ES" w:eastAsia="es-ES"/>
        </w:rPr>
        <w:t xml:space="preserve">En ese sentido es necesario referir la definición del Derecho de Acceso a la Información, siendo que es </w:t>
      </w:r>
      <w:r w:rsidRPr="00594D8C">
        <w:rPr>
          <w:rFonts w:ascii="Palatino Linotype" w:eastAsia="Times New Roman" w:hAnsi="Palatino Linotype" w:cs="Arial"/>
          <w:sz w:val="24"/>
          <w:szCs w:val="24"/>
          <w:lang w:eastAsia="es-MX"/>
        </w:rPr>
        <w:t xml:space="preserve">la </w:t>
      </w:r>
      <w:r w:rsidRPr="00594D8C">
        <w:rPr>
          <w:rFonts w:ascii="Palatino Linotype" w:eastAsia="MS Mincho" w:hAnsi="Palatino Linotype" w:cs="Times New Roman"/>
          <w:i/>
          <w:sz w:val="24"/>
          <w:szCs w:val="24"/>
        </w:rPr>
        <w:t>igualdad de oportunidades para recibir, buscar e impartir información</w:t>
      </w:r>
      <w:r w:rsidRPr="00594D8C">
        <w:rPr>
          <w:rFonts w:ascii="Palatino Linotype" w:eastAsia="MS Mincho" w:hAnsi="Palatino Linotype" w:cs="Times New Roman"/>
          <w:i/>
          <w:sz w:val="24"/>
          <w:szCs w:val="24"/>
          <w:vertAlign w:val="superscript"/>
        </w:rPr>
        <w:footnoteReference w:id="3"/>
      </w:r>
      <w:r w:rsidRPr="00594D8C">
        <w:rPr>
          <w:rFonts w:ascii="Palatino Linotype" w:eastAsia="MS Mincho" w:hAnsi="Palatino Linotype" w:cs="Times New Roman"/>
          <w:i/>
          <w:sz w:val="24"/>
          <w:szCs w:val="24"/>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94D8C">
        <w:rPr>
          <w:rFonts w:ascii="Palatino Linotype" w:eastAsia="MS Mincho" w:hAnsi="Palatino Linotype" w:cs="Times New Roman"/>
          <w:sz w:val="24"/>
          <w:szCs w:val="24"/>
          <w:vertAlign w:val="superscript"/>
        </w:rPr>
        <w:footnoteReference w:id="4"/>
      </w:r>
      <w:r w:rsidRPr="00594D8C">
        <w:rPr>
          <w:rFonts w:ascii="Palatino Linotype" w:eastAsia="MS Mincho" w:hAnsi="Palatino Linotype" w:cs="Times New Roman"/>
          <w:i/>
          <w:sz w:val="24"/>
          <w:szCs w:val="24"/>
        </w:rPr>
        <w:t xml:space="preserve"> </w:t>
      </w:r>
      <w:r w:rsidRPr="00594D8C">
        <w:rPr>
          <w:rFonts w:ascii="Palatino Linotype" w:eastAsia="MS Mincho" w:hAnsi="Palatino Linotype" w:cs="Times New Roman"/>
          <w:sz w:val="24"/>
          <w:szCs w:val="24"/>
        </w:rPr>
        <w:t xml:space="preserve">que se constituye como una herramienta fundamental para </w:t>
      </w:r>
      <w:r w:rsidRPr="00594D8C">
        <w:rPr>
          <w:rFonts w:ascii="Palatino Linotype" w:eastAsia="MS Mincho" w:hAnsi="Palatino Linotype" w:cs="Times New Roman"/>
          <w:i/>
          <w:sz w:val="24"/>
          <w:szCs w:val="24"/>
        </w:rPr>
        <w:t>ejercer control democrático de las gestiones estatales, de forma tal que puedan cuestionar, indagar y considerar si se está dando un adecuado cumplimiento de las funciones públicas,</w:t>
      </w:r>
      <w:r w:rsidRPr="00594D8C">
        <w:rPr>
          <w:rFonts w:ascii="Palatino Linotype" w:eastAsia="MS Mincho" w:hAnsi="Palatino Linotype" w:cs="Times New Roman"/>
          <w:i/>
          <w:sz w:val="24"/>
          <w:szCs w:val="24"/>
          <w:vertAlign w:val="superscript"/>
        </w:rPr>
        <w:footnoteReference w:id="5"/>
      </w:r>
      <w:r w:rsidRPr="00594D8C">
        <w:rPr>
          <w:rFonts w:ascii="Palatino Linotype" w:eastAsia="MS Mincho" w:hAnsi="Palatino Linotype" w:cs="Times New Roman"/>
          <w:sz w:val="24"/>
          <w:szCs w:val="24"/>
        </w:rPr>
        <w:t>fomentando</w:t>
      </w:r>
      <w:r w:rsidRPr="00594D8C">
        <w:rPr>
          <w:rFonts w:ascii="Palatino Linotype" w:eastAsia="MS Mincho" w:hAnsi="Palatino Linotype" w:cs="Times New Roman"/>
          <w:i/>
          <w:sz w:val="24"/>
          <w:szCs w:val="24"/>
        </w:rPr>
        <w:t xml:space="preserve"> la transparencia de las actividades estatales y</w:t>
      </w:r>
      <w:r w:rsidRPr="00594D8C">
        <w:rPr>
          <w:rFonts w:ascii="Palatino Linotype" w:eastAsia="MS Mincho" w:hAnsi="Palatino Linotype" w:cs="Times New Roman"/>
          <w:sz w:val="24"/>
          <w:szCs w:val="24"/>
        </w:rPr>
        <w:t xml:space="preserve"> promoviendo</w:t>
      </w:r>
      <w:r w:rsidRPr="00594D8C">
        <w:rPr>
          <w:rFonts w:ascii="Palatino Linotype" w:eastAsia="MS Mincho" w:hAnsi="Palatino Linotype" w:cs="Times New Roman"/>
          <w:i/>
          <w:sz w:val="24"/>
          <w:szCs w:val="24"/>
        </w:rPr>
        <w:t xml:space="preserve"> la responsabilidad de los funcionarios sobre su </w:t>
      </w:r>
      <w:r w:rsidRPr="00594D8C">
        <w:rPr>
          <w:rFonts w:ascii="Palatino Linotype" w:eastAsia="MS Mincho" w:hAnsi="Palatino Linotype" w:cs="Times New Roman"/>
          <w:i/>
          <w:sz w:val="24"/>
          <w:szCs w:val="24"/>
        </w:rPr>
        <w:lastRenderedPageBreak/>
        <w:t xml:space="preserve">gestión pública </w:t>
      </w:r>
      <w:r w:rsidRPr="00594D8C">
        <w:rPr>
          <w:rFonts w:ascii="Palatino Linotype" w:eastAsia="MS Mincho" w:hAnsi="Palatino Linotype" w:cs="Times New Roman"/>
          <w:sz w:val="24"/>
          <w:szCs w:val="24"/>
        </w:rPr>
        <w:t>que permite</w:t>
      </w:r>
      <w:r w:rsidRPr="00594D8C">
        <w:rPr>
          <w:rFonts w:ascii="Palatino Linotype" w:eastAsia="MS Mincho" w:hAnsi="Palatino Linotype" w:cs="Times New Roman"/>
          <w:i/>
          <w:sz w:val="24"/>
          <w:szCs w:val="24"/>
        </w:rPr>
        <w:t xml:space="preserve"> saber qué están haciendo los gobiernos por sus pueblos, sin lo cual la verdad languidecería y la participación en el gobierno permanecería fragmentada.</w:t>
      </w:r>
      <w:r w:rsidRPr="00594D8C">
        <w:rPr>
          <w:rFonts w:ascii="Palatino Linotype" w:eastAsia="MS Mincho" w:hAnsi="Palatino Linotype" w:cs="Times New Roman"/>
          <w:i/>
          <w:sz w:val="24"/>
          <w:szCs w:val="24"/>
          <w:vertAlign w:val="superscript"/>
        </w:rPr>
        <w:footnoteReference w:id="6"/>
      </w:r>
      <w:r w:rsidRPr="00594D8C">
        <w:rPr>
          <w:rFonts w:ascii="Palatino Linotype" w:eastAsia="MS Mincho" w:hAnsi="Palatino Linotype" w:cs="Times New Roman"/>
          <w:sz w:val="24"/>
          <w:szCs w:val="24"/>
        </w:rPr>
        <w:t xml:space="preserve"> ”.</w:t>
      </w:r>
    </w:p>
    <w:p w:rsidR="00594D8C" w:rsidRPr="00594D8C" w:rsidRDefault="00594D8C" w:rsidP="00594D8C">
      <w:pPr>
        <w:spacing w:before="240" w:after="0" w:line="360" w:lineRule="auto"/>
        <w:contextualSpacing/>
        <w:jc w:val="both"/>
        <w:rPr>
          <w:rFonts w:ascii="Palatino Linotype" w:hAnsi="Palatino Linotype" w:cs="Arial"/>
          <w:color w:val="000000" w:themeColor="text1"/>
          <w:sz w:val="24"/>
          <w:szCs w:val="24"/>
        </w:rPr>
      </w:pPr>
    </w:p>
    <w:p w:rsidR="00594D8C" w:rsidRPr="003277B6" w:rsidRDefault="003277B6" w:rsidP="003277B6">
      <w:pPr>
        <w:pStyle w:val="Ttulo1"/>
        <w:rPr>
          <w:rFonts w:ascii="Palatino Linotype" w:hAnsi="Palatino Linotype"/>
          <w:b/>
          <w:color w:val="000000" w:themeColor="text1"/>
          <w:sz w:val="24"/>
        </w:rPr>
      </w:pPr>
      <w:bookmarkStart w:id="7" w:name="_Toc522533871"/>
      <w:bookmarkStart w:id="8" w:name="_Toc524953358"/>
      <w:r w:rsidRPr="003277B6">
        <w:rPr>
          <w:rFonts w:ascii="Palatino Linotype" w:hAnsi="Palatino Linotype"/>
          <w:b/>
          <w:color w:val="000000" w:themeColor="text1"/>
          <w:sz w:val="24"/>
        </w:rPr>
        <w:t xml:space="preserve">V. </w:t>
      </w:r>
      <w:r w:rsidR="00594D8C" w:rsidRPr="003277B6">
        <w:rPr>
          <w:rFonts w:ascii="Palatino Linotype" w:hAnsi="Palatino Linotype"/>
          <w:b/>
          <w:color w:val="000000" w:themeColor="text1"/>
          <w:sz w:val="24"/>
        </w:rPr>
        <w:t>Las garantías primarias del derecho de acceso a la información pública.</w:t>
      </w:r>
      <w:bookmarkEnd w:id="7"/>
      <w:bookmarkEnd w:id="8"/>
    </w:p>
    <w:p w:rsidR="00594D8C" w:rsidRPr="00594D8C" w:rsidRDefault="00594D8C" w:rsidP="00594D8C">
      <w:pPr>
        <w:spacing w:before="240" w:after="0" w:line="360" w:lineRule="auto"/>
        <w:contextualSpacing/>
        <w:jc w:val="both"/>
        <w:rPr>
          <w:rFonts w:ascii="Palatino Linotype" w:hAnsi="Palatino Linotype" w:cs="Arial"/>
          <w:i/>
          <w:color w:val="000000" w:themeColor="text1"/>
          <w:sz w:val="24"/>
          <w:szCs w:val="24"/>
        </w:rPr>
      </w:pPr>
    </w:p>
    <w:p w:rsidR="00594D8C" w:rsidRPr="00594D8C" w:rsidRDefault="00594D8C" w:rsidP="00474F74">
      <w:pPr>
        <w:numPr>
          <w:ilvl w:val="0"/>
          <w:numId w:val="8"/>
        </w:numPr>
        <w:spacing w:before="240" w:after="0" w:line="360" w:lineRule="auto"/>
        <w:ind w:left="0" w:firstLine="0"/>
        <w:contextualSpacing/>
        <w:jc w:val="both"/>
        <w:rPr>
          <w:rFonts w:ascii="Palatino Linotype" w:hAnsi="Palatino Linotype" w:cs="Arial"/>
          <w:i/>
          <w:color w:val="000000" w:themeColor="text1"/>
          <w:sz w:val="24"/>
          <w:szCs w:val="24"/>
        </w:rPr>
      </w:pPr>
      <w:r w:rsidRPr="00594D8C">
        <w:rPr>
          <w:rFonts w:ascii="Palatino Linotype" w:hAnsi="Palatino Linotype" w:cs="Arial"/>
          <w:color w:val="000000" w:themeColor="text1"/>
          <w:sz w:val="24"/>
          <w:szCs w:val="24"/>
        </w:rPr>
        <w:t xml:space="preserve">Como lo establece la doctrina y lo señala nuestro texto fundamental, para que esos derechos no sean sólo proclamas políticas sino realmente efectivos se requiere de la existencia de garantías constitucionales que permitan su ejercicio o protección, las que pueden ser de carácter primario cuando consisten en </w:t>
      </w:r>
      <w:r w:rsidRPr="00594D8C">
        <w:rPr>
          <w:rFonts w:ascii="Palatino Linotype" w:hAnsi="Palatino Linotype" w:cs="Arial"/>
          <w:i/>
          <w:color w:val="000000" w:themeColor="text1"/>
          <w:sz w:val="24"/>
          <w:szCs w:val="24"/>
        </w:rPr>
        <w:t>las</w:t>
      </w:r>
      <w:r w:rsidRPr="00594D8C">
        <w:rPr>
          <w:rFonts w:ascii="Palatino Linotype" w:hAnsi="Palatino Linotype" w:cs="Arial"/>
          <w:color w:val="000000" w:themeColor="text1"/>
          <w:sz w:val="24"/>
          <w:szCs w:val="24"/>
        </w:rPr>
        <w:t xml:space="preserve"> </w:t>
      </w:r>
      <w:r w:rsidRPr="00594D8C">
        <w:rPr>
          <w:rFonts w:ascii="Palatino Linotype" w:hAnsi="Palatino Linotype" w:cs="Arial"/>
          <w:i/>
          <w:color w:val="000000" w:themeColor="text1"/>
          <w:sz w:val="24"/>
          <w:szCs w:val="24"/>
        </w:rPr>
        <w:t>obligaciones o prohibiciones inmediatamente correlativas a los derechos establecidos en las constituciones</w:t>
      </w:r>
      <w:r w:rsidRPr="00594D8C">
        <w:rPr>
          <w:rFonts w:ascii="Palatino Linotype" w:hAnsi="Palatino Linotype" w:cs="Arial"/>
          <w:i/>
          <w:color w:val="000000" w:themeColor="text1"/>
          <w:sz w:val="24"/>
          <w:szCs w:val="24"/>
          <w:vertAlign w:val="superscript"/>
        </w:rPr>
        <w:footnoteReference w:id="7"/>
      </w:r>
      <w:r w:rsidRPr="00594D8C">
        <w:rPr>
          <w:rFonts w:ascii="Palatino Linotype" w:hAnsi="Palatino Linotype" w:cs="Arial"/>
          <w:color w:val="000000" w:themeColor="text1"/>
          <w:sz w:val="24"/>
          <w:szCs w:val="24"/>
        </w:rPr>
        <w:t xml:space="preserve"> o bien </w:t>
      </w:r>
      <w:r w:rsidRPr="00594D8C">
        <w:rPr>
          <w:rFonts w:ascii="Palatino Linotype" w:hAnsi="Palatino Linotype" w:cs="Arial"/>
          <w:i/>
          <w:color w:val="000000" w:themeColor="text1"/>
          <w:sz w:val="24"/>
          <w:szCs w:val="24"/>
        </w:rPr>
        <w:t>como la suma de las garantías positivas y de las garantías negativas,</w:t>
      </w:r>
      <w:r w:rsidRPr="00594D8C">
        <w:rPr>
          <w:rFonts w:ascii="Palatino Linotype" w:hAnsi="Palatino Linotype" w:cs="Arial"/>
          <w:i/>
          <w:color w:val="000000" w:themeColor="text1"/>
          <w:sz w:val="24"/>
          <w:szCs w:val="24"/>
          <w:vertAlign w:val="superscript"/>
        </w:rPr>
        <w:footnoteReference w:id="8"/>
      </w:r>
      <w:r w:rsidRPr="00594D8C">
        <w:rPr>
          <w:rFonts w:ascii="Palatino Linotype" w:hAnsi="Palatino Linotype" w:cs="Arial"/>
          <w:color w:val="000000" w:themeColor="text1"/>
          <w:sz w:val="24"/>
          <w:szCs w:val="24"/>
        </w:rPr>
        <w:t xml:space="preserve"> lo que en materia de acceso a la información pública se aprecia en dos obligaciones impuestas al poder público consistentes en difundir, </w:t>
      </w:r>
      <w:r w:rsidRPr="00594D8C">
        <w:rPr>
          <w:rFonts w:ascii="Palatino Linotype" w:hAnsi="Palatino Linotype" w:cs="Arial"/>
          <w:b/>
          <w:color w:val="000000" w:themeColor="text1"/>
          <w:sz w:val="24"/>
          <w:szCs w:val="24"/>
        </w:rPr>
        <w:t>de oficio</w:t>
      </w:r>
      <w:r w:rsidRPr="00594D8C">
        <w:rPr>
          <w:rFonts w:ascii="Palatino Linotype" w:hAnsi="Palatino Linotype" w:cs="Arial"/>
          <w:color w:val="000000" w:themeColor="text1"/>
          <w:sz w:val="24"/>
          <w:szCs w:val="24"/>
        </w:rPr>
        <w:t xml:space="preserve">, un conjunto de información común para todos los Sujetos Obligados y específica de acuerdo con las funciones de cada uno de ellos; en segundo término, lo que el legislador ordinario en el estado de México estableció textualmente en el artículo 150 de la reciente ley de la materia </w:t>
      </w:r>
      <w:r w:rsidRPr="00594D8C">
        <w:rPr>
          <w:rFonts w:ascii="Palatino Linotype" w:hAnsi="Palatino Linotype" w:cs="Arial"/>
          <w:color w:val="000000" w:themeColor="text1"/>
          <w:sz w:val="24"/>
          <w:szCs w:val="24"/>
        </w:rPr>
        <w:lastRenderedPageBreak/>
        <w:t xml:space="preserve">al señalar que </w:t>
      </w:r>
      <w:r w:rsidRPr="00594D8C">
        <w:rPr>
          <w:rFonts w:ascii="Palatino Linotype" w:hAnsi="Palatino Linotype" w:cs="Arial"/>
          <w:i/>
          <w:color w:val="000000" w:themeColor="text1"/>
          <w:sz w:val="24"/>
          <w:szCs w:val="24"/>
        </w:rPr>
        <w:t xml:space="preserve">el procedimiento de acceso a la información pública es la garantía del derecho en cuestión. </w:t>
      </w:r>
    </w:p>
    <w:p w:rsidR="00594D8C" w:rsidRPr="00594D8C" w:rsidRDefault="00594D8C" w:rsidP="00594D8C">
      <w:pPr>
        <w:spacing w:before="240" w:after="0" w:line="360" w:lineRule="auto"/>
        <w:ind w:left="360"/>
        <w:contextualSpacing/>
        <w:jc w:val="both"/>
        <w:rPr>
          <w:rFonts w:ascii="Palatino Linotype" w:hAnsi="Palatino Linotype" w:cs="Arial"/>
          <w:i/>
          <w:color w:val="000000" w:themeColor="text1"/>
          <w:sz w:val="24"/>
          <w:szCs w:val="24"/>
        </w:rPr>
      </w:pPr>
    </w:p>
    <w:p w:rsidR="00594D8C" w:rsidRPr="00594D8C" w:rsidRDefault="00594D8C" w:rsidP="003277B6">
      <w:pPr>
        <w:numPr>
          <w:ilvl w:val="0"/>
          <w:numId w:val="8"/>
        </w:numPr>
        <w:spacing w:after="0" w:line="360" w:lineRule="auto"/>
        <w:ind w:left="0" w:firstLine="0"/>
        <w:contextualSpacing/>
        <w:jc w:val="both"/>
        <w:rPr>
          <w:rFonts w:ascii="Palatino Linotype" w:hAnsi="Palatino Linotype" w:cs="Arial"/>
          <w:color w:val="000000" w:themeColor="text1"/>
          <w:sz w:val="24"/>
          <w:szCs w:val="24"/>
        </w:rPr>
      </w:pPr>
      <w:r w:rsidRPr="00594D8C">
        <w:rPr>
          <w:rFonts w:ascii="Palatino Linotype" w:hAnsi="Palatino Linotype" w:cs="Arial"/>
          <w:color w:val="000000" w:themeColor="text1"/>
          <w:sz w:val="24"/>
          <w:szCs w:val="24"/>
        </w:rPr>
        <w:t xml:space="preserve"> Por lo tanto, cuando </w:t>
      </w:r>
      <w:r w:rsidRPr="00594D8C">
        <w:rPr>
          <w:rFonts w:ascii="Palatino Linotype" w:hAnsi="Palatino Linotype" w:cs="Arial"/>
          <w:b/>
          <w:color w:val="000000" w:themeColor="text1"/>
          <w:sz w:val="24"/>
          <w:szCs w:val="24"/>
        </w:rPr>
        <w:t>el particular</w:t>
      </w:r>
      <w:r w:rsidRPr="00594D8C">
        <w:rPr>
          <w:rFonts w:ascii="Palatino Linotype" w:hAnsi="Palatino Linotype" w:cs="Arial"/>
          <w:color w:val="000000" w:themeColor="text1"/>
          <w:sz w:val="24"/>
          <w:szCs w:val="24"/>
        </w:rPr>
        <w:t>, presentó la solicitud de acceso a la información pública ante el Sujeto Obligado, ejerció el derecho en cuestión a través de su garantía primaria depositada en la autoridad quien, por mandato categórico del tercer párrafo del artículo primero de la Constitución Federal</w:t>
      </w:r>
      <w:r w:rsidRPr="00594D8C">
        <w:rPr>
          <w:rFonts w:ascii="Palatino Linotype" w:eastAsia="Calibri" w:hAnsi="Palatino Linotype" w:cs="Arial"/>
          <w:color w:val="000000" w:themeColor="text1"/>
          <w:sz w:val="24"/>
          <w:szCs w:val="24"/>
          <w:lang w:val="es-ES" w:eastAsia="es-ES"/>
        </w:rPr>
        <w:t xml:space="preserve">, se encuentra obligado, como todas las demás autoridades, en el ámbito de su competencia, a </w:t>
      </w:r>
      <w:r w:rsidRPr="00594D8C">
        <w:rPr>
          <w:rFonts w:ascii="Palatino Linotype" w:eastAsia="Calibri" w:hAnsi="Palatino Linotype" w:cs="Arial"/>
          <w:b/>
          <w:color w:val="000000" w:themeColor="text1"/>
          <w:sz w:val="24"/>
          <w:szCs w:val="24"/>
          <w:lang w:val="es-ES" w:eastAsia="es-ES"/>
        </w:rPr>
        <w:t>“promover, respetar, proteger y garantizar los derechos humanos</w:t>
      </w:r>
      <w:r w:rsidRPr="00594D8C">
        <w:rPr>
          <w:rFonts w:ascii="Palatino Linotype" w:eastAsia="Calibri" w:hAnsi="Palatino Linotype" w:cs="Arial"/>
          <w:color w:val="000000" w:themeColor="text1"/>
          <w:sz w:val="24"/>
          <w:szCs w:val="24"/>
          <w:lang w:val="es-ES" w:eastAsia="es-ES"/>
        </w:rPr>
        <w:t>”, entre los cuales se encuentra el de acceso a la información.</w:t>
      </w:r>
    </w:p>
    <w:p w:rsidR="00594D8C" w:rsidRPr="00594D8C" w:rsidRDefault="00594D8C" w:rsidP="00594D8C">
      <w:pPr>
        <w:spacing w:line="360" w:lineRule="auto"/>
        <w:ind w:left="720"/>
        <w:contextualSpacing/>
        <w:rPr>
          <w:rFonts w:ascii="Palatino Linotype" w:hAnsi="Palatino Linotype" w:cs="Arial"/>
          <w:color w:val="000000" w:themeColor="text1"/>
          <w:sz w:val="24"/>
          <w:szCs w:val="24"/>
        </w:rPr>
      </w:pPr>
    </w:p>
    <w:p w:rsidR="00594D8C" w:rsidRPr="003277B6" w:rsidRDefault="003277B6" w:rsidP="003277B6">
      <w:pPr>
        <w:numPr>
          <w:ilvl w:val="0"/>
          <w:numId w:val="8"/>
        </w:numPr>
        <w:spacing w:after="0" w:line="360" w:lineRule="auto"/>
        <w:ind w:left="0" w:firstLine="0"/>
        <w:contextualSpacing/>
        <w:jc w:val="both"/>
        <w:rPr>
          <w:rFonts w:ascii="Palatino Linotype" w:eastAsiaTheme="majorEastAsia" w:hAnsi="Palatino Linotype" w:cs="Arial"/>
          <w:b/>
          <w:iCs/>
          <w:color w:val="000000" w:themeColor="text1"/>
          <w:sz w:val="24"/>
          <w:szCs w:val="24"/>
        </w:rPr>
      </w:pPr>
      <w:r>
        <w:rPr>
          <w:rFonts w:ascii="Palatino Linotype" w:hAnsi="Palatino Linotype" w:cs="Arial"/>
          <w:color w:val="000000" w:themeColor="text1"/>
          <w:sz w:val="24"/>
          <w:szCs w:val="24"/>
        </w:rPr>
        <w:t xml:space="preserve">Así el principio de máxima publicidad de la información, impone </w:t>
      </w:r>
      <w:r w:rsidR="00594D8C" w:rsidRPr="00594D8C">
        <w:rPr>
          <w:rFonts w:ascii="Palatino Linotype" w:hAnsi="Palatino Linotype" w:cs="Arial"/>
          <w:color w:val="000000" w:themeColor="text1"/>
          <w:sz w:val="24"/>
          <w:szCs w:val="24"/>
        </w:rPr>
        <w:t>a la autoridad la obligación de</w:t>
      </w:r>
      <w:r>
        <w:rPr>
          <w:rFonts w:ascii="Palatino Linotype" w:hAnsi="Palatino Linotype" w:cs="Arial"/>
          <w:color w:val="000000" w:themeColor="text1"/>
          <w:sz w:val="24"/>
          <w:szCs w:val="24"/>
        </w:rPr>
        <w:t xml:space="preserve"> mantener actualizada la información pública de oficio que se pone a disposición de los particulares. </w:t>
      </w:r>
      <w:bookmarkStart w:id="9" w:name="_Toc522533872"/>
    </w:p>
    <w:p w:rsidR="003277B6" w:rsidRDefault="003277B6" w:rsidP="003277B6">
      <w:pPr>
        <w:spacing w:after="0" w:line="360" w:lineRule="auto"/>
        <w:contextualSpacing/>
        <w:jc w:val="both"/>
        <w:rPr>
          <w:rFonts w:ascii="Palatino Linotype" w:eastAsiaTheme="majorEastAsia" w:hAnsi="Palatino Linotype" w:cs="Arial"/>
          <w:b/>
          <w:iCs/>
          <w:color w:val="000000" w:themeColor="text1"/>
          <w:sz w:val="24"/>
          <w:szCs w:val="24"/>
        </w:rPr>
      </w:pPr>
    </w:p>
    <w:p w:rsidR="00594D8C" w:rsidRPr="003277B6" w:rsidRDefault="003277B6" w:rsidP="003277B6">
      <w:pPr>
        <w:pStyle w:val="Ttulo1"/>
        <w:rPr>
          <w:rFonts w:ascii="Palatino Linotype" w:eastAsiaTheme="minorHAnsi" w:hAnsi="Palatino Linotype"/>
          <w:b/>
          <w:color w:val="000000" w:themeColor="text1"/>
          <w:sz w:val="24"/>
        </w:rPr>
      </w:pPr>
      <w:bookmarkStart w:id="10" w:name="_Toc524953359"/>
      <w:r w:rsidRPr="003277B6">
        <w:rPr>
          <w:rFonts w:ascii="Palatino Linotype" w:hAnsi="Palatino Linotype"/>
          <w:b/>
          <w:color w:val="000000" w:themeColor="text1"/>
          <w:sz w:val="24"/>
        </w:rPr>
        <w:t>VI</w:t>
      </w:r>
      <w:r w:rsidR="00594D8C" w:rsidRPr="003277B6">
        <w:rPr>
          <w:rFonts w:ascii="Palatino Linotype" w:hAnsi="Palatino Linotype"/>
          <w:b/>
          <w:color w:val="000000" w:themeColor="text1"/>
          <w:sz w:val="24"/>
        </w:rPr>
        <w:t>. La garantía secundaria del derecho de acceso a la información pública.</w:t>
      </w:r>
      <w:bookmarkEnd w:id="9"/>
      <w:bookmarkEnd w:id="10"/>
    </w:p>
    <w:p w:rsidR="00594D8C" w:rsidRPr="00594D8C" w:rsidRDefault="00594D8C" w:rsidP="00594D8C">
      <w:pPr>
        <w:spacing w:line="360" w:lineRule="auto"/>
        <w:ind w:left="720"/>
        <w:contextualSpacing/>
        <w:rPr>
          <w:rFonts w:ascii="Palatino Linotype" w:hAnsi="Palatino Linotype" w:cs="Arial"/>
          <w:color w:val="000000" w:themeColor="text1"/>
          <w:sz w:val="24"/>
          <w:szCs w:val="24"/>
        </w:rPr>
      </w:pPr>
    </w:p>
    <w:p w:rsidR="00594D8C" w:rsidRPr="00594D8C" w:rsidRDefault="00594D8C" w:rsidP="003277B6">
      <w:pPr>
        <w:numPr>
          <w:ilvl w:val="0"/>
          <w:numId w:val="8"/>
        </w:numPr>
        <w:spacing w:after="0" w:line="360" w:lineRule="auto"/>
        <w:ind w:left="0" w:firstLine="0"/>
        <w:contextualSpacing/>
        <w:jc w:val="both"/>
        <w:rPr>
          <w:rFonts w:ascii="Palatino Linotype" w:hAnsi="Palatino Linotype" w:cs="Arial"/>
          <w:color w:val="000000" w:themeColor="text1"/>
          <w:sz w:val="24"/>
          <w:szCs w:val="24"/>
        </w:rPr>
      </w:pPr>
      <w:r w:rsidRPr="00594D8C">
        <w:rPr>
          <w:rFonts w:ascii="Palatino Linotype" w:hAnsi="Palatino Linotype" w:cs="Arial"/>
          <w:color w:val="000000" w:themeColor="text1"/>
          <w:sz w:val="24"/>
          <w:szCs w:val="24"/>
        </w:rPr>
        <w:t xml:space="preserve"> Como también lo establece la doctrina y lo determina así nuestro texto fundamental, para asegurar la efectividad de los derechos no son suficientes las obligaciones y prohibiciones inmediatas a la autoridad, y ante una eventual afectación al derecho humano, el Estado tiene la obligación de </w:t>
      </w:r>
      <w:r w:rsidRPr="00594D8C">
        <w:rPr>
          <w:rFonts w:ascii="Palatino Linotype" w:hAnsi="Palatino Linotype" w:cs="Arial"/>
          <w:i/>
          <w:color w:val="000000" w:themeColor="text1"/>
          <w:sz w:val="24"/>
          <w:szCs w:val="24"/>
        </w:rPr>
        <w:t>investigar, sancionar y reparar</w:t>
      </w:r>
      <w:r w:rsidRPr="00594D8C">
        <w:rPr>
          <w:rFonts w:ascii="Palatino Linotype" w:hAnsi="Palatino Linotype" w:cs="Arial"/>
          <w:color w:val="000000" w:themeColor="text1"/>
          <w:sz w:val="24"/>
          <w:szCs w:val="24"/>
        </w:rPr>
        <w:t xml:space="preserve"> sus violaciones. </w:t>
      </w:r>
    </w:p>
    <w:p w:rsidR="00594D8C" w:rsidRPr="00594D8C" w:rsidRDefault="00594D8C" w:rsidP="00594D8C">
      <w:pPr>
        <w:spacing w:after="0" w:line="360" w:lineRule="auto"/>
        <w:ind w:left="360"/>
        <w:contextualSpacing/>
        <w:jc w:val="both"/>
        <w:rPr>
          <w:rFonts w:ascii="Palatino Linotype" w:hAnsi="Palatino Linotype" w:cs="Arial"/>
          <w:color w:val="000000" w:themeColor="text1"/>
          <w:sz w:val="24"/>
          <w:szCs w:val="24"/>
        </w:rPr>
      </w:pPr>
    </w:p>
    <w:p w:rsidR="00594D8C" w:rsidRPr="00594D8C" w:rsidRDefault="00594D8C" w:rsidP="003277B6">
      <w:pPr>
        <w:numPr>
          <w:ilvl w:val="0"/>
          <w:numId w:val="8"/>
        </w:numPr>
        <w:spacing w:after="0" w:line="360" w:lineRule="auto"/>
        <w:ind w:left="0" w:firstLine="0"/>
        <w:contextualSpacing/>
        <w:jc w:val="both"/>
        <w:rPr>
          <w:rFonts w:ascii="Palatino Linotype" w:hAnsi="Palatino Linotype" w:cs="Arial"/>
          <w:color w:val="000000" w:themeColor="text1"/>
          <w:sz w:val="24"/>
          <w:szCs w:val="24"/>
        </w:rPr>
      </w:pPr>
      <w:r w:rsidRPr="00594D8C">
        <w:rPr>
          <w:rFonts w:ascii="Palatino Linotype" w:hAnsi="Palatino Linotype" w:cs="Arial"/>
          <w:color w:val="000000" w:themeColor="text1"/>
          <w:sz w:val="24"/>
          <w:szCs w:val="24"/>
        </w:rPr>
        <w:t xml:space="preserve"> Las propias obligaciones internacionales adquiridas por el Estado Mexicano  determinan que nuestro país cuente con un procedimiento sencillo, rápido</w:t>
      </w:r>
      <w:r w:rsidRPr="00594D8C">
        <w:rPr>
          <w:rFonts w:ascii="Palatino Linotype" w:hAnsi="Palatino Linotype" w:cs="Arial"/>
          <w:color w:val="000000" w:themeColor="text1"/>
          <w:sz w:val="24"/>
          <w:szCs w:val="24"/>
          <w:vertAlign w:val="superscript"/>
        </w:rPr>
        <w:footnoteReference w:id="9"/>
      </w:r>
      <w:r w:rsidRPr="00594D8C">
        <w:rPr>
          <w:rFonts w:ascii="Palatino Linotype" w:hAnsi="Palatino Linotype" w:cs="Arial"/>
          <w:color w:val="000000" w:themeColor="text1"/>
          <w:sz w:val="24"/>
          <w:szCs w:val="24"/>
        </w:rPr>
        <w:t xml:space="preserve"> y  efectivo</w:t>
      </w:r>
      <w:r w:rsidRPr="00594D8C">
        <w:rPr>
          <w:rFonts w:ascii="Palatino Linotype" w:hAnsi="Palatino Linotype" w:cs="Arial"/>
          <w:color w:val="000000" w:themeColor="text1"/>
          <w:sz w:val="24"/>
          <w:szCs w:val="24"/>
          <w:vertAlign w:val="superscript"/>
        </w:rPr>
        <w:footnoteReference w:id="10"/>
      </w:r>
      <w:r w:rsidRPr="00594D8C">
        <w:rPr>
          <w:rFonts w:ascii="Palatino Linotype" w:hAnsi="Palatino Linotype" w:cs="Arial"/>
          <w:color w:val="000000" w:themeColor="text1"/>
          <w:sz w:val="24"/>
          <w:szCs w:val="24"/>
        </w:rPr>
        <w:t xml:space="preserve"> para la protección del derecho de acceso a la información pública, que ha implicado el diseño del recurso de revisión como una garantía secundaria, desahogada en sede de un órgano constitucionalmente autónomo, cuya fuerza en sus resoluciones es definitiva en todos aquellos casos en los que las pretensiones de la persona se colman ordenando al Sujeto Obligado la entrega de la información requerida y a través del desahogo de un procedimiento materialmente jurisdiccional.</w:t>
      </w:r>
      <w:r w:rsidRPr="00594D8C">
        <w:rPr>
          <w:rFonts w:ascii="Palatino Linotype" w:hAnsi="Palatino Linotype" w:cs="Arial"/>
          <w:color w:val="000000" w:themeColor="text1"/>
          <w:sz w:val="24"/>
          <w:szCs w:val="24"/>
          <w:vertAlign w:val="superscript"/>
        </w:rPr>
        <w:footnoteReference w:id="11"/>
      </w:r>
      <w:r w:rsidRPr="00594D8C">
        <w:rPr>
          <w:rFonts w:ascii="Palatino Linotype" w:hAnsi="Palatino Linotype" w:cs="Arial"/>
          <w:color w:val="000000" w:themeColor="text1"/>
          <w:sz w:val="24"/>
          <w:szCs w:val="24"/>
        </w:rPr>
        <w:t xml:space="preserve"> </w:t>
      </w:r>
    </w:p>
    <w:p w:rsidR="00594D8C" w:rsidRPr="00594D8C" w:rsidRDefault="00594D8C" w:rsidP="00594D8C">
      <w:pPr>
        <w:spacing w:line="360" w:lineRule="auto"/>
        <w:ind w:left="720"/>
        <w:contextualSpacing/>
        <w:rPr>
          <w:rFonts w:ascii="Palatino Linotype" w:hAnsi="Palatino Linotype" w:cs="Arial"/>
          <w:color w:val="000000" w:themeColor="text1"/>
          <w:sz w:val="24"/>
          <w:szCs w:val="24"/>
        </w:rPr>
      </w:pPr>
    </w:p>
    <w:p w:rsidR="00594D8C" w:rsidRPr="00594D8C" w:rsidRDefault="00594D8C" w:rsidP="003277B6">
      <w:pPr>
        <w:numPr>
          <w:ilvl w:val="0"/>
          <w:numId w:val="8"/>
        </w:numPr>
        <w:spacing w:after="0" w:line="360" w:lineRule="auto"/>
        <w:ind w:left="0" w:firstLine="0"/>
        <w:contextualSpacing/>
        <w:jc w:val="both"/>
        <w:rPr>
          <w:rFonts w:ascii="Palatino Linotype" w:hAnsi="Palatino Linotype" w:cs="Arial"/>
          <w:color w:val="000000" w:themeColor="text1"/>
          <w:sz w:val="24"/>
          <w:szCs w:val="24"/>
        </w:rPr>
      </w:pPr>
      <w:r w:rsidRPr="00594D8C">
        <w:rPr>
          <w:rFonts w:ascii="Palatino Linotype" w:hAnsi="Palatino Linotype" w:cs="Arial"/>
          <w:color w:val="000000" w:themeColor="text1"/>
          <w:sz w:val="24"/>
          <w:szCs w:val="24"/>
        </w:rPr>
        <w:t xml:space="preserve">Lo que fue entendido por el legislador ordinario mexiquense quien a través del artículo 176 de la ley estatal de transparencia citada previamente, ha señalado que  </w:t>
      </w:r>
      <w:r w:rsidRPr="00594D8C">
        <w:rPr>
          <w:rFonts w:ascii="Palatino Linotype" w:hAnsi="Palatino Linotype" w:cs="Arial"/>
          <w:i/>
          <w:color w:val="000000" w:themeColor="text1"/>
          <w:sz w:val="24"/>
          <w:szCs w:val="24"/>
        </w:rPr>
        <w:t>(e)l recurso de revisión es la garantía secundaria mediante la cual se pretende reparar cualquier posible afectación al derecho de acceso a la información pública</w:t>
      </w:r>
      <w:r w:rsidRPr="00594D8C">
        <w:rPr>
          <w:rFonts w:ascii="Palatino Linotype" w:hAnsi="Palatino Linotype" w:cs="Arial"/>
          <w:color w:val="000000" w:themeColor="text1"/>
          <w:sz w:val="24"/>
          <w:szCs w:val="24"/>
        </w:rPr>
        <w:t xml:space="preserve">, con lo que además somos armónicos con los criterios doctrinales que ubican a la garantía secundaria como </w:t>
      </w:r>
      <w:r w:rsidRPr="00594D8C">
        <w:rPr>
          <w:rFonts w:ascii="Palatino Linotype" w:hAnsi="Palatino Linotype" w:cs="Arial"/>
          <w:i/>
          <w:color w:val="000000" w:themeColor="text1"/>
          <w:sz w:val="24"/>
          <w:szCs w:val="24"/>
        </w:rPr>
        <w:t xml:space="preserve">la reparación judicial </w:t>
      </w:r>
      <w:r w:rsidRPr="00594D8C">
        <w:rPr>
          <w:rFonts w:ascii="Palatino Linotype" w:hAnsi="Palatino Linotype" w:cs="Arial"/>
          <w:color w:val="000000" w:themeColor="text1"/>
          <w:sz w:val="24"/>
          <w:szCs w:val="24"/>
        </w:rPr>
        <w:t>(en nuestro caso, materialmente jurisdiccional)</w:t>
      </w:r>
      <w:r w:rsidRPr="00594D8C">
        <w:rPr>
          <w:rFonts w:ascii="Palatino Linotype" w:hAnsi="Palatino Linotype" w:cs="Arial"/>
          <w:i/>
          <w:color w:val="000000" w:themeColor="text1"/>
          <w:sz w:val="24"/>
          <w:szCs w:val="24"/>
        </w:rPr>
        <w:t xml:space="preserve"> </w:t>
      </w:r>
      <w:r w:rsidRPr="00594D8C">
        <w:rPr>
          <w:rFonts w:ascii="Palatino Linotype" w:hAnsi="Palatino Linotype" w:cs="Arial"/>
          <w:i/>
          <w:color w:val="000000" w:themeColor="text1"/>
          <w:sz w:val="24"/>
          <w:szCs w:val="24"/>
        </w:rPr>
        <w:lastRenderedPageBreak/>
        <w:t>de las violaciones de las garantías primarias</w:t>
      </w:r>
      <w:r w:rsidRPr="00594D8C">
        <w:rPr>
          <w:rFonts w:ascii="Palatino Linotype" w:hAnsi="Palatino Linotype" w:cs="Arial"/>
          <w:i/>
          <w:color w:val="000000" w:themeColor="text1"/>
          <w:sz w:val="24"/>
          <w:szCs w:val="24"/>
          <w:vertAlign w:val="superscript"/>
        </w:rPr>
        <w:footnoteReference w:id="12"/>
      </w:r>
      <w:r w:rsidRPr="00594D8C">
        <w:rPr>
          <w:rFonts w:ascii="Palatino Linotype" w:hAnsi="Palatino Linotype" w:cs="Arial"/>
          <w:i/>
          <w:color w:val="000000" w:themeColor="text1"/>
          <w:sz w:val="24"/>
          <w:szCs w:val="24"/>
        </w:rPr>
        <w:t xml:space="preserve"> </w:t>
      </w:r>
      <w:r w:rsidRPr="00594D8C">
        <w:rPr>
          <w:rFonts w:ascii="Palatino Linotype" w:hAnsi="Palatino Linotype" w:cs="Arial"/>
          <w:color w:val="000000" w:themeColor="text1"/>
          <w:sz w:val="24"/>
          <w:szCs w:val="24"/>
        </w:rPr>
        <w:t xml:space="preserve">o como </w:t>
      </w:r>
      <w:r w:rsidRPr="00594D8C">
        <w:rPr>
          <w:rFonts w:ascii="Palatino Linotype" w:hAnsi="Palatino Linotype" w:cs="Arial"/>
          <w:i/>
          <w:color w:val="000000" w:themeColor="text1"/>
          <w:sz w:val="24"/>
          <w:szCs w:val="24"/>
        </w:rPr>
        <w:t>garantías jurisdiccionales de justiciabilidad que intervienen, en caso de violación de las garantías primarias y de los derechos correlativos, a través de la anulación de los actos inválidos y de la sanción por los actos ilícitos.</w:t>
      </w:r>
      <w:r w:rsidRPr="00594D8C">
        <w:rPr>
          <w:rFonts w:ascii="Palatino Linotype" w:hAnsi="Palatino Linotype" w:cs="Arial"/>
          <w:i/>
          <w:color w:val="000000" w:themeColor="text1"/>
          <w:sz w:val="24"/>
          <w:szCs w:val="24"/>
          <w:vertAlign w:val="superscript"/>
        </w:rPr>
        <w:footnoteReference w:id="13"/>
      </w:r>
      <w:r w:rsidRPr="00594D8C">
        <w:rPr>
          <w:rFonts w:ascii="Palatino Linotype" w:hAnsi="Palatino Linotype" w:cs="Arial"/>
          <w:i/>
          <w:color w:val="000000" w:themeColor="text1"/>
          <w:sz w:val="24"/>
          <w:szCs w:val="24"/>
        </w:rPr>
        <w:t xml:space="preserve"> </w:t>
      </w:r>
    </w:p>
    <w:p w:rsidR="00594D8C" w:rsidRPr="00594D8C" w:rsidRDefault="00594D8C" w:rsidP="00594D8C">
      <w:pPr>
        <w:spacing w:line="360" w:lineRule="auto"/>
        <w:ind w:left="720"/>
        <w:contextualSpacing/>
        <w:rPr>
          <w:rFonts w:ascii="Palatino Linotype" w:hAnsi="Palatino Linotype" w:cs="Arial"/>
          <w:color w:val="000000" w:themeColor="text1"/>
          <w:sz w:val="24"/>
          <w:szCs w:val="24"/>
        </w:rPr>
      </w:pPr>
    </w:p>
    <w:p w:rsidR="00594D8C" w:rsidRPr="00594D8C" w:rsidRDefault="00594D8C" w:rsidP="003277B6">
      <w:pPr>
        <w:numPr>
          <w:ilvl w:val="0"/>
          <w:numId w:val="8"/>
        </w:numPr>
        <w:spacing w:after="0" w:line="360" w:lineRule="auto"/>
        <w:ind w:left="0" w:firstLine="0"/>
        <w:contextualSpacing/>
        <w:jc w:val="both"/>
        <w:rPr>
          <w:rFonts w:ascii="Palatino Linotype" w:hAnsi="Palatino Linotype" w:cs="Arial"/>
          <w:color w:val="000000" w:themeColor="text1"/>
          <w:sz w:val="24"/>
          <w:szCs w:val="24"/>
        </w:rPr>
      </w:pPr>
      <w:r w:rsidRPr="00594D8C">
        <w:rPr>
          <w:rFonts w:ascii="Palatino Linotype" w:hAnsi="Palatino Linotype" w:cs="Arial"/>
          <w:color w:val="000000" w:themeColor="text1"/>
          <w:sz w:val="24"/>
          <w:szCs w:val="24"/>
        </w:rPr>
        <w:t xml:space="preserve">En el caso que se resuelve debo destacar que la misma ley de transparencia ya citada precisa en su artículo 179 fracción V, y VI que el propio recurso de revisión </w:t>
      </w:r>
      <w:r w:rsidRPr="00594D8C">
        <w:rPr>
          <w:rFonts w:ascii="Palatino Linotype" w:hAnsi="Palatino Linotype" w:cs="Arial"/>
          <w:i/>
          <w:color w:val="000000" w:themeColor="text1"/>
          <w:sz w:val="24"/>
          <w:szCs w:val="24"/>
        </w:rPr>
        <w:t xml:space="preserve">es un medio de protección </w:t>
      </w:r>
      <w:r w:rsidRPr="00594D8C">
        <w:rPr>
          <w:rFonts w:ascii="Palatino Linotype" w:hAnsi="Palatino Linotype" w:cs="Arial"/>
          <w:color w:val="000000" w:themeColor="text1"/>
          <w:sz w:val="24"/>
          <w:szCs w:val="24"/>
        </w:rPr>
        <w:t>y procede en contra de la</w:t>
      </w:r>
      <w:r w:rsidRPr="00594D8C">
        <w:rPr>
          <w:rFonts w:ascii="Palatino Linotype" w:hAnsi="Palatino Linotype" w:cs="Arial"/>
          <w:i/>
          <w:color w:val="000000" w:themeColor="text1"/>
          <w:sz w:val="24"/>
          <w:szCs w:val="24"/>
        </w:rPr>
        <w:t xml:space="preserve"> entrega de la información incompleta y la falta de respuesta a una solicitud de acceso a la información. </w:t>
      </w:r>
      <w:r w:rsidRPr="00594D8C">
        <w:rPr>
          <w:rFonts w:ascii="Palatino Linotype" w:hAnsi="Palatino Linotype" w:cs="Arial"/>
          <w:b/>
          <w:color w:val="000000" w:themeColor="text1"/>
          <w:sz w:val="24"/>
          <w:szCs w:val="24"/>
        </w:rPr>
        <w:t>Por lo que el motivo de inconformidad consiste en que el Sujeto Obligado no atendió la solicitud de información que realizó el particular</w:t>
      </w:r>
      <w:r w:rsidRPr="00594D8C">
        <w:rPr>
          <w:rFonts w:ascii="Palatino Linotype" w:hAnsi="Palatino Linotype" w:cs="Arial"/>
          <w:color w:val="000000" w:themeColor="text1"/>
          <w:sz w:val="24"/>
          <w:szCs w:val="24"/>
        </w:rPr>
        <w:t>, situación que recae en lo estipulado por el artículo 234, y es plenamente fundado, pues, constituyó una violación a su derecho de acceso a la información pública que el Estado Mexicano, a través de este Pleno, pretende reparar.</w:t>
      </w:r>
    </w:p>
    <w:p w:rsidR="00594D8C" w:rsidRPr="00594D8C" w:rsidRDefault="00594D8C" w:rsidP="00594D8C">
      <w:pPr>
        <w:spacing w:after="0" w:line="360" w:lineRule="auto"/>
        <w:contextualSpacing/>
        <w:jc w:val="both"/>
        <w:rPr>
          <w:rFonts w:ascii="Palatino Linotype" w:hAnsi="Palatino Linotype" w:cs="Arial"/>
          <w:color w:val="000000" w:themeColor="text1"/>
          <w:sz w:val="24"/>
          <w:szCs w:val="24"/>
        </w:rPr>
      </w:pPr>
    </w:p>
    <w:p w:rsidR="00594D8C" w:rsidRPr="003277B6" w:rsidRDefault="003277B6" w:rsidP="003277B6">
      <w:pPr>
        <w:pStyle w:val="Ttulo1"/>
        <w:rPr>
          <w:rFonts w:ascii="Palatino Linotype" w:hAnsi="Palatino Linotype"/>
          <w:b/>
          <w:sz w:val="24"/>
          <w:szCs w:val="24"/>
        </w:rPr>
      </w:pPr>
      <w:bookmarkStart w:id="11" w:name="_Toc522533873"/>
      <w:bookmarkStart w:id="12" w:name="_Toc524953360"/>
      <w:r w:rsidRPr="003277B6">
        <w:rPr>
          <w:rFonts w:ascii="Palatino Linotype" w:hAnsi="Palatino Linotype"/>
          <w:b/>
          <w:color w:val="000000" w:themeColor="text1"/>
          <w:sz w:val="24"/>
          <w:szCs w:val="24"/>
        </w:rPr>
        <w:t xml:space="preserve">VII. </w:t>
      </w:r>
      <w:r w:rsidR="00594D8C" w:rsidRPr="003277B6">
        <w:rPr>
          <w:rFonts w:ascii="Palatino Linotype" w:hAnsi="Palatino Linotype"/>
          <w:b/>
          <w:color w:val="000000" w:themeColor="text1"/>
          <w:sz w:val="24"/>
          <w:szCs w:val="24"/>
        </w:rPr>
        <w:t>Consecuencias de la violación al derecho humano.</w:t>
      </w:r>
      <w:bookmarkEnd w:id="11"/>
      <w:bookmarkEnd w:id="12"/>
      <w:r w:rsidR="00594D8C" w:rsidRPr="003277B6">
        <w:rPr>
          <w:rFonts w:ascii="Palatino Linotype" w:hAnsi="Palatino Linotype"/>
          <w:b/>
          <w:color w:val="000000" w:themeColor="text1"/>
          <w:sz w:val="24"/>
          <w:szCs w:val="24"/>
        </w:rPr>
        <w:t xml:space="preserve"> </w:t>
      </w:r>
    </w:p>
    <w:p w:rsidR="00594D8C" w:rsidRPr="00594D8C" w:rsidRDefault="00594D8C" w:rsidP="00594D8C">
      <w:pPr>
        <w:keepNext/>
        <w:keepLines/>
        <w:spacing w:before="40" w:after="0"/>
        <w:ind w:left="1080"/>
        <w:outlineLvl w:val="1"/>
        <w:rPr>
          <w:rFonts w:ascii="Palatino Linotype" w:eastAsiaTheme="majorEastAsia" w:hAnsi="Palatino Linotype" w:cs="Arial"/>
          <w:b/>
          <w:iCs/>
          <w:color w:val="000000" w:themeColor="text1"/>
          <w:sz w:val="24"/>
          <w:szCs w:val="24"/>
        </w:rPr>
      </w:pPr>
    </w:p>
    <w:p w:rsidR="00594D8C" w:rsidRPr="00594D8C" w:rsidRDefault="00594D8C" w:rsidP="00D86555">
      <w:pPr>
        <w:numPr>
          <w:ilvl w:val="0"/>
          <w:numId w:val="8"/>
        </w:numPr>
        <w:spacing w:after="0" w:line="360" w:lineRule="auto"/>
        <w:ind w:left="0" w:firstLine="0"/>
        <w:contextualSpacing/>
        <w:jc w:val="both"/>
        <w:rPr>
          <w:rFonts w:ascii="Palatino Linotype" w:hAnsi="Palatino Linotype" w:cs="Arial"/>
          <w:color w:val="000000" w:themeColor="text1"/>
          <w:sz w:val="24"/>
          <w:szCs w:val="24"/>
        </w:rPr>
      </w:pPr>
      <w:r w:rsidRPr="00594D8C">
        <w:rPr>
          <w:rFonts w:ascii="Palatino Linotype" w:hAnsi="Palatino Linotype" w:cs="Arial"/>
          <w:color w:val="000000" w:themeColor="text1"/>
          <w:sz w:val="24"/>
          <w:szCs w:val="24"/>
        </w:rPr>
        <w:t xml:space="preserve"> El tercer párrafo del artículo primero de nuestra la Constitución Política de los Estados Unidos Mexicanos establece la obligación del Estado Mexicano de </w:t>
      </w:r>
      <w:r w:rsidRPr="00594D8C">
        <w:rPr>
          <w:rFonts w:ascii="Palatino Linotype" w:hAnsi="Palatino Linotype" w:cs="Arial"/>
          <w:i/>
          <w:color w:val="000000" w:themeColor="text1"/>
          <w:sz w:val="24"/>
          <w:szCs w:val="24"/>
        </w:rPr>
        <w:t xml:space="preserve">investigar, sancionar y reparar las violaciones a los derechos humanos, en los términos que </w:t>
      </w:r>
      <w:r w:rsidRPr="00594D8C">
        <w:rPr>
          <w:rFonts w:ascii="Palatino Linotype" w:hAnsi="Palatino Linotype" w:cs="Arial"/>
          <w:i/>
          <w:color w:val="000000" w:themeColor="text1"/>
          <w:sz w:val="24"/>
          <w:szCs w:val="24"/>
        </w:rPr>
        <w:lastRenderedPageBreak/>
        <w:t xml:space="preserve">establezca la ley. </w:t>
      </w:r>
      <w:r w:rsidRPr="00594D8C">
        <w:rPr>
          <w:rFonts w:ascii="Palatino Linotype" w:hAnsi="Palatino Linotype" w:cs="Arial"/>
          <w:color w:val="000000" w:themeColor="text1"/>
          <w:sz w:val="24"/>
          <w:szCs w:val="24"/>
        </w:rPr>
        <w:t xml:space="preserve">En este caso es plenamente evidente que </w:t>
      </w:r>
      <w:r w:rsidRPr="00594D8C">
        <w:rPr>
          <w:rFonts w:ascii="Palatino Linotype" w:hAnsi="Palatino Linotype" w:cs="Arial"/>
          <w:b/>
          <w:color w:val="000000" w:themeColor="text1"/>
          <w:sz w:val="24"/>
          <w:szCs w:val="24"/>
        </w:rPr>
        <w:t xml:space="preserve">el particular </w:t>
      </w:r>
      <w:r w:rsidRPr="00594D8C">
        <w:rPr>
          <w:rFonts w:ascii="Palatino Linotype" w:hAnsi="Palatino Linotype" w:cs="Arial"/>
          <w:color w:val="000000" w:themeColor="text1"/>
          <w:sz w:val="24"/>
          <w:szCs w:val="24"/>
        </w:rPr>
        <w:t>pretendió</w:t>
      </w:r>
      <w:r w:rsidR="00D86555">
        <w:rPr>
          <w:rFonts w:ascii="Palatino Linotype" w:hAnsi="Palatino Linotype" w:cs="Arial"/>
          <w:color w:val="000000" w:themeColor="text1"/>
          <w:sz w:val="24"/>
          <w:szCs w:val="24"/>
        </w:rPr>
        <w:t xml:space="preserve"> a acceder a cierta información por medio del Sistema de Información Pública de Oficio Mexiquense </w:t>
      </w:r>
      <w:r w:rsidRPr="00594D8C">
        <w:rPr>
          <w:rFonts w:ascii="Palatino Linotype" w:hAnsi="Palatino Linotype" w:cs="Arial"/>
          <w:color w:val="000000" w:themeColor="text1"/>
          <w:sz w:val="24"/>
          <w:szCs w:val="24"/>
        </w:rPr>
        <w:t xml:space="preserve">y que la autoridad no </w:t>
      </w:r>
      <w:r w:rsidR="00D86555">
        <w:rPr>
          <w:rFonts w:ascii="Palatino Linotype" w:hAnsi="Palatino Linotype" w:cs="Arial"/>
          <w:color w:val="000000" w:themeColor="text1"/>
          <w:sz w:val="24"/>
          <w:szCs w:val="24"/>
        </w:rPr>
        <w:t>lo tiene debidamente actualizado</w:t>
      </w:r>
      <w:r w:rsidRPr="00594D8C">
        <w:rPr>
          <w:rFonts w:ascii="Palatino Linotype" w:hAnsi="Palatino Linotype" w:cs="Arial"/>
          <w:color w:val="000000" w:themeColor="text1"/>
          <w:sz w:val="24"/>
          <w:szCs w:val="24"/>
        </w:rPr>
        <w:t>, genera un agravió en la persona que</w:t>
      </w:r>
      <w:r w:rsidR="00D86555">
        <w:rPr>
          <w:rFonts w:ascii="Palatino Linotype" w:hAnsi="Palatino Linotype" w:cs="Arial"/>
          <w:color w:val="000000" w:themeColor="text1"/>
          <w:sz w:val="24"/>
          <w:szCs w:val="24"/>
        </w:rPr>
        <w:t xml:space="preserve"> si bien en un primer término tuvo que realizar una solicitud de información para acceder a la información que requería también tuvo que ejercer </w:t>
      </w:r>
      <w:r w:rsidRPr="00594D8C">
        <w:rPr>
          <w:rFonts w:ascii="Palatino Linotype" w:hAnsi="Palatino Linotype" w:cs="Arial"/>
          <w:color w:val="000000" w:themeColor="text1"/>
          <w:sz w:val="24"/>
          <w:szCs w:val="24"/>
        </w:rPr>
        <w:t xml:space="preserve">la garantía secundaria para la </w:t>
      </w:r>
      <w:r w:rsidRPr="00594D8C">
        <w:rPr>
          <w:rFonts w:ascii="Palatino Linotype" w:hAnsi="Palatino Linotype" w:cs="Arial"/>
          <w:i/>
          <w:color w:val="000000" w:themeColor="text1"/>
          <w:sz w:val="24"/>
          <w:szCs w:val="24"/>
        </w:rPr>
        <w:t>restitutio in integrum</w:t>
      </w:r>
      <w:r w:rsidRPr="00594D8C">
        <w:rPr>
          <w:rFonts w:ascii="Palatino Linotype" w:hAnsi="Palatino Linotype" w:cs="Arial"/>
          <w:color w:val="000000" w:themeColor="text1"/>
          <w:sz w:val="24"/>
          <w:szCs w:val="24"/>
        </w:rPr>
        <w:t xml:space="preserve"> del derecho en cuestión. </w:t>
      </w:r>
    </w:p>
    <w:p w:rsidR="00594D8C" w:rsidRPr="00594D8C" w:rsidRDefault="00594D8C" w:rsidP="00594D8C">
      <w:pPr>
        <w:spacing w:after="0" w:line="360" w:lineRule="auto"/>
        <w:ind w:left="360"/>
        <w:contextualSpacing/>
        <w:jc w:val="both"/>
        <w:rPr>
          <w:rFonts w:ascii="Palatino Linotype" w:hAnsi="Palatino Linotype" w:cs="Arial"/>
          <w:color w:val="000000" w:themeColor="text1"/>
          <w:sz w:val="24"/>
          <w:szCs w:val="24"/>
        </w:rPr>
      </w:pPr>
    </w:p>
    <w:p w:rsidR="00594D8C" w:rsidRPr="00594D8C" w:rsidRDefault="00594D8C" w:rsidP="00D86555">
      <w:pPr>
        <w:numPr>
          <w:ilvl w:val="0"/>
          <w:numId w:val="8"/>
        </w:numPr>
        <w:spacing w:after="0" w:line="360" w:lineRule="auto"/>
        <w:ind w:left="0" w:firstLine="0"/>
        <w:contextualSpacing/>
        <w:jc w:val="both"/>
        <w:rPr>
          <w:rFonts w:ascii="Palatino Linotype" w:hAnsi="Palatino Linotype" w:cs="Arial"/>
          <w:color w:val="000000" w:themeColor="text1"/>
          <w:sz w:val="24"/>
          <w:szCs w:val="24"/>
        </w:rPr>
      </w:pPr>
      <w:r w:rsidRPr="00594D8C">
        <w:rPr>
          <w:rFonts w:ascii="Palatino Linotype" w:hAnsi="Palatino Linotype" w:cs="Arial"/>
          <w:color w:val="000000" w:themeColor="text1"/>
          <w:sz w:val="24"/>
          <w:szCs w:val="24"/>
        </w:rPr>
        <w:t>Pero debo decir que el presente voto particular que me diferencia del resto del pleno consiste en</w:t>
      </w:r>
      <w:r w:rsidR="00D86555">
        <w:rPr>
          <w:rFonts w:ascii="Palatino Linotype" w:hAnsi="Palatino Linotype" w:cs="Arial"/>
          <w:color w:val="000000" w:themeColor="text1"/>
          <w:sz w:val="24"/>
          <w:szCs w:val="24"/>
        </w:rPr>
        <w:t xml:space="preserve"> la violación que se advierte al </w:t>
      </w:r>
      <w:r w:rsidRPr="00594D8C">
        <w:rPr>
          <w:rFonts w:ascii="Palatino Linotype" w:hAnsi="Palatino Linotype" w:cs="Arial"/>
          <w:color w:val="000000" w:themeColor="text1"/>
          <w:sz w:val="24"/>
          <w:szCs w:val="24"/>
        </w:rPr>
        <w:t>derecho humano</w:t>
      </w:r>
      <w:r w:rsidR="00D86555">
        <w:rPr>
          <w:rFonts w:ascii="Palatino Linotype" w:hAnsi="Palatino Linotype" w:cs="Arial"/>
          <w:color w:val="000000" w:themeColor="text1"/>
          <w:sz w:val="24"/>
          <w:szCs w:val="24"/>
        </w:rPr>
        <w:t xml:space="preserve"> en cuestión</w:t>
      </w:r>
      <w:r w:rsidRPr="00594D8C">
        <w:rPr>
          <w:rFonts w:ascii="Palatino Linotype" w:hAnsi="Palatino Linotype" w:cs="Arial"/>
          <w:color w:val="000000" w:themeColor="text1"/>
          <w:sz w:val="24"/>
          <w:szCs w:val="24"/>
        </w:rPr>
        <w:t>. Si bien es cierto, que los derechos no son efectivos sin las garantías que permitan su pleno cumplimiento, también estoy convencido de que las garantías son limitadas si las afectaciones o violaciones a los derechos humanos no se acompañan de las medidas adecuadas para asegurar lo que la Corte Interamericana de Derechos Humanos ampliamente ha establecido como doctrina consolidada en materia de no repetición de las conductas que lo violan,</w:t>
      </w:r>
      <w:r w:rsidRPr="00594D8C">
        <w:rPr>
          <w:rFonts w:ascii="Palatino Linotype" w:hAnsi="Palatino Linotype" w:cs="Arial"/>
          <w:color w:val="000000" w:themeColor="text1"/>
          <w:sz w:val="24"/>
          <w:szCs w:val="24"/>
          <w:vertAlign w:val="superscript"/>
        </w:rPr>
        <w:footnoteReference w:id="14"/>
      </w:r>
      <w:r w:rsidRPr="00594D8C">
        <w:rPr>
          <w:rFonts w:ascii="Palatino Linotype" w:hAnsi="Palatino Linotype" w:cs="Arial"/>
          <w:color w:val="000000" w:themeColor="text1"/>
          <w:sz w:val="24"/>
          <w:szCs w:val="24"/>
        </w:rPr>
        <w:t xml:space="preserve"> o lo que Ferrajoli señala como la </w:t>
      </w:r>
      <w:r w:rsidRPr="00594D8C">
        <w:rPr>
          <w:rFonts w:ascii="Palatino Linotype" w:hAnsi="Palatino Linotype" w:cs="Arial"/>
          <w:i/>
          <w:color w:val="000000" w:themeColor="text1"/>
          <w:sz w:val="24"/>
          <w:szCs w:val="24"/>
        </w:rPr>
        <w:t>sanción por los actos ilícitos</w:t>
      </w:r>
      <w:r w:rsidRPr="00594D8C">
        <w:rPr>
          <w:rFonts w:ascii="Palatino Linotype" w:hAnsi="Palatino Linotype" w:cs="Arial"/>
          <w:color w:val="000000" w:themeColor="text1"/>
          <w:sz w:val="24"/>
          <w:szCs w:val="24"/>
        </w:rPr>
        <w:t xml:space="preserve"> según se ha citado ya. Lo cual implica que se debe revisar si el </w:t>
      </w:r>
      <w:r w:rsidRPr="00594D8C">
        <w:rPr>
          <w:rFonts w:ascii="Palatino Linotype" w:hAnsi="Palatino Linotype" w:cs="Arial"/>
          <w:color w:val="000000" w:themeColor="text1"/>
          <w:sz w:val="24"/>
          <w:szCs w:val="24"/>
        </w:rPr>
        <w:lastRenderedPageBreak/>
        <w:t xml:space="preserve">ordenamiento jurídico actual establece un procedimiento determinado que permita sancionar esta afectación particular al derecho de acceso a la información pública. </w:t>
      </w:r>
    </w:p>
    <w:p w:rsidR="00594D8C" w:rsidRPr="00594D8C" w:rsidRDefault="00594D8C" w:rsidP="00D86555">
      <w:pPr>
        <w:spacing w:after="0" w:line="360" w:lineRule="auto"/>
        <w:contextualSpacing/>
        <w:jc w:val="both"/>
        <w:rPr>
          <w:rFonts w:ascii="Palatino Linotype" w:hAnsi="Palatino Linotype" w:cs="Arial"/>
          <w:color w:val="000000" w:themeColor="text1"/>
          <w:sz w:val="24"/>
          <w:szCs w:val="24"/>
        </w:rPr>
      </w:pPr>
    </w:p>
    <w:p w:rsidR="00594D8C" w:rsidRPr="00D86555" w:rsidRDefault="00594D8C" w:rsidP="00D86555">
      <w:pPr>
        <w:pStyle w:val="Ttulo1"/>
        <w:rPr>
          <w:rFonts w:ascii="Palatino Linotype" w:hAnsi="Palatino Linotype"/>
          <w:b/>
          <w:color w:val="000000" w:themeColor="text1"/>
          <w:sz w:val="24"/>
          <w:szCs w:val="24"/>
        </w:rPr>
      </w:pPr>
      <w:bookmarkStart w:id="13" w:name="_Toc522533874"/>
      <w:bookmarkStart w:id="14" w:name="_Toc524953361"/>
      <w:r w:rsidRPr="00D86555">
        <w:rPr>
          <w:rFonts w:ascii="Palatino Linotype" w:hAnsi="Palatino Linotype"/>
          <w:b/>
          <w:color w:val="000000" w:themeColor="text1"/>
          <w:sz w:val="24"/>
          <w:szCs w:val="24"/>
        </w:rPr>
        <w:t>Conclusiones.</w:t>
      </w:r>
      <w:bookmarkEnd w:id="13"/>
      <w:bookmarkEnd w:id="14"/>
      <w:r w:rsidRPr="00D86555">
        <w:rPr>
          <w:rFonts w:ascii="Palatino Linotype" w:hAnsi="Palatino Linotype"/>
          <w:b/>
          <w:color w:val="000000" w:themeColor="text1"/>
          <w:sz w:val="24"/>
          <w:szCs w:val="24"/>
        </w:rPr>
        <w:t xml:space="preserve"> </w:t>
      </w:r>
    </w:p>
    <w:p w:rsidR="00594D8C" w:rsidRPr="00594D8C" w:rsidRDefault="00594D8C" w:rsidP="00594D8C">
      <w:pPr>
        <w:keepNext/>
        <w:keepLines/>
        <w:spacing w:before="40" w:after="0"/>
        <w:ind w:left="1080"/>
        <w:outlineLvl w:val="1"/>
        <w:rPr>
          <w:rFonts w:ascii="Palatino Linotype" w:eastAsiaTheme="majorEastAsia" w:hAnsi="Palatino Linotype" w:cs="Arial"/>
          <w:b/>
          <w:iCs/>
          <w:color w:val="000000" w:themeColor="text1"/>
          <w:sz w:val="24"/>
          <w:szCs w:val="24"/>
        </w:rPr>
      </w:pPr>
    </w:p>
    <w:p w:rsidR="00594D8C" w:rsidRPr="00594D8C" w:rsidRDefault="00594D8C" w:rsidP="000A41E3">
      <w:pPr>
        <w:numPr>
          <w:ilvl w:val="0"/>
          <w:numId w:val="8"/>
        </w:numPr>
        <w:spacing w:after="0" w:line="360" w:lineRule="auto"/>
        <w:ind w:left="0" w:firstLine="0"/>
        <w:contextualSpacing/>
        <w:jc w:val="both"/>
        <w:rPr>
          <w:rFonts w:ascii="Palatino Linotype" w:hAnsi="Palatino Linotype" w:cs="Arial"/>
          <w:color w:val="000000" w:themeColor="text1"/>
          <w:sz w:val="24"/>
          <w:szCs w:val="24"/>
        </w:rPr>
      </w:pPr>
      <w:r w:rsidRPr="00594D8C">
        <w:rPr>
          <w:rFonts w:ascii="Palatino Linotype" w:hAnsi="Palatino Linotype" w:cs="Arial"/>
          <w:color w:val="000000" w:themeColor="text1"/>
          <w:sz w:val="24"/>
          <w:szCs w:val="24"/>
        </w:rPr>
        <w:t>No</w:t>
      </w:r>
      <w:r w:rsidR="00D86555">
        <w:rPr>
          <w:rFonts w:ascii="Palatino Linotype" w:hAnsi="Palatino Linotype" w:cs="Arial"/>
          <w:color w:val="000000" w:themeColor="text1"/>
          <w:sz w:val="24"/>
          <w:szCs w:val="24"/>
        </w:rPr>
        <w:t xml:space="preserve"> mantener actualizado el Sistema de Información Pública de Oficio Mexiquense (</w:t>
      </w:r>
      <w:r w:rsidR="000A41E3">
        <w:rPr>
          <w:rFonts w:ascii="Palatino Linotype" w:hAnsi="Palatino Linotype" w:cs="Arial"/>
          <w:color w:val="000000" w:themeColor="text1"/>
          <w:sz w:val="24"/>
          <w:szCs w:val="24"/>
        </w:rPr>
        <w:t xml:space="preserve">IPOMEX) </w:t>
      </w:r>
      <w:r w:rsidR="00D86555">
        <w:rPr>
          <w:rFonts w:ascii="Palatino Linotype" w:hAnsi="Palatino Linotype" w:cs="Arial"/>
          <w:color w:val="000000" w:themeColor="text1"/>
          <w:sz w:val="24"/>
          <w:szCs w:val="24"/>
        </w:rPr>
        <w:t xml:space="preserve"> </w:t>
      </w:r>
      <w:r w:rsidRPr="00594D8C">
        <w:rPr>
          <w:rFonts w:ascii="Palatino Linotype" w:hAnsi="Palatino Linotype" w:cs="Arial"/>
          <w:color w:val="000000" w:themeColor="text1"/>
          <w:sz w:val="24"/>
          <w:szCs w:val="24"/>
        </w:rPr>
        <w:t xml:space="preserve">es la alta responsabilidad  de retrasar y limitar el derecho de acceso a la información. </w:t>
      </w:r>
      <w:r w:rsidR="000A41E3">
        <w:rPr>
          <w:rFonts w:ascii="Palatino Linotype" w:hAnsi="Palatino Linotype" w:cs="Arial"/>
          <w:color w:val="000000" w:themeColor="text1"/>
          <w:sz w:val="24"/>
          <w:szCs w:val="24"/>
        </w:rPr>
        <w:t xml:space="preserve">Dicha situación </w:t>
      </w:r>
      <w:r w:rsidRPr="00594D8C">
        <w:rPr>
          <w:rFonts w:ascii="Palatino Linotype" w:hAnsi="Palatino Linotype" w:cs="Arial"/>
          <w:color w:val="000000" w:themeColor="text1"/>
          <w:sz w:val="24"/>
          <w:szCs w:val="24"/>
        </w:rPr>
        <w:t xml:space="preserve">provoca una afectación al derecho de los particulares, y más aún, cuando se encuentran elementos de convicción que ayudan a determinar que la información puede existir. </w:t>
      </w:r>
    </w:p>
    <w:p w:rsidR="00594D8C" w:rsidRDefault="00594D8C" w:rsidP="00594D8C">
      <w:pPr>
        <w:spacing w:after="0" w:line="360" w:lineRule="auto"/>
        <w:contextualSpacing/>
        <w:jc w:val="both"/>
        <w:rPr>
          <w:rFonts w:ascii="Palatino Linotype" w:hAnsi="Palatino Linotype" w:cs="Arial"/>
          <w:color w:val="000000" w:themeColor="text1"/>
          <w:sz w:val="24"/>
          <w:szCs w:val="24"/>
        </w:rPr>
      </w:pPr>
    </w:p>
    <w:p w:rsidR="00421259" w:rsidRPr="00594D8C" w:rsidRDefault="00421259" w:rsidP="00594D8C">
      <w:pPr>
        <w:spacing w:after="0" w:line="360" w:lineRule="auto"/>
        <w:contextualSpacing/>
        <w:jc w:val="both"/>
        <w:rPr>
          <w:rFonts w:ascii="Palatino Linotype" w:hAnsi="Palatino Linotype" w:cs="Arial"/>
          <w:color w:val="000000" w:themeColor="text1"/>
          <w:sz w:val="24"/>
          <w:szCs w:val="24"/>
        </w:rPr>
      </w:pPr>
    </w:p>
    <w:p w:rsidR="00BD49E0" w:rsidRPr="000A41E3" w:rsidRDefault="00BD49E0" w:rsidP="000A41E3">
      <w:pPr>
        <w:spacing w:line="360" w:lineRule="auto"/>
        <w:jc w:val="both"/>
        <w:rPr>
          <w:rFonts w:ascii="Palatino Linotype" w:hAnsi="Palatino Linotype"/>
          <w:sz w:val="24"/>
          <w:szCs w:val="24"/>
        </w:rPr>
      </w:pPr>
    </w:p>
    <w:p w:rsidR="005A4FE3" w:rsidRPr="00BB0BA5" w:rsidRDefault="005A4FE3" w:rsidP="005A4FE3">
      <w:pPr>
        <w:spacing w:line="360" w:lineRule="auto"/>
        <w:jc w:val="center"/>
        <w:rPr>
          <w:rFonts w:ascii="Palatino Linotype" w:hAnsi="Palatino Linotype"/>
          <w:b/>
          <w:sz w:val="24"/>
          <w:szCs w:val="24"/>
        </w:rPr>
      </w:pPr>
      <w:r w:rsidRPr="00BB0BA5">
        <w:rPr>
          <w:rFonts w:ascii="Palatino Linotype" w:hAnsi="Palatino Linotype"/>
          <w:b/>
          <w:sz w:val="24"/>
          <w:szCs w:val="24"/>
        </w:rPr>
        <w:t xml:space="preserve">JOSÉ GUADALUPE LUNA </w:t>
      </w:r>
      <w:r w:rsidR="00EC7F34" w:rsidRPr="00BB0BA5">
        <w:rPr>
          <w:rFonts w:ascii="Palatino Linotype" w:hAnsi="Palatino Linotype"/>
          <w:b/>
          <w:sz w:val="24"/>
          <w:szCs w:val="24"/>
        </w:rPr>
        <w:t>HERNÁNDEZ</w:t>
      </w:r>
    </w:p>
    <w:p w:rsidR="007C7C8A" w:rsidRDefault="005A4FE3" w:rsidP="0022566B">
      <w:pPr>
        <w:spacing w:line="360" w:lineRule="auto"/>
        <w:jc w:val="center"/>
        <w:rPr>
          <w:rFonts w:ascii="Palatino Linotype" w:hAnsi="Palatino Linotype"/>
          <w:b/>
          <w:sz w:val="24"/>
          <w:szCs w:val="24"/>
        </w:rPr>
      </w:pPr>
      <w:r w:rsidRPr="00BB0BA5">
        <w:rPr>
          <w:rFonts w:ascii="Palatino Linotype" w:hAnsi="Palatino Linotype"/>
          <w:b/>
          <w:sz w:val="24"/>
          <w:szCs w:val="24"/>
        </w:rPr>
        <w:t>COMISIONADO</w:t>
      </w:r>
    </w:p>
    <w:p w:rsidR="0022628C" w:rsidRDefault="00822449" w:rsidP="00822449">
      <w:pPr>
        <w:spacing w:line="360" w:lineRule="auto"/>
        <w:jc w:val="center"/>
        <w:rPr>
          <w:rFonts w:ascii="Palatino Linotype" w:hAnsi="Palatino Linotype"/>
          <w:b/>
          <w:sz w:val="24"/>
          <w:szCs w:val="24"/>
        </w:rPr>
      </w:pPr>
      <w:r>
        <w:rPr>
          <w:rFonts w:ascii="Palatino Linotype" w:hAnsi="Palatino Linotype"/>
          <w:b/>
          <w:sz w:val="24"/>
          <w:szCs w:val="24"/>
        </w:rPr>
        <w:t>(Rubrica)</w:t>
      </w:r>
    </w:p>
    <w:p w:rsidR="00E940EB" w:rsidRPr="00BB0BA5" w:rsidRDefault="005A4FE3" w:rsidP="00827A65">
      <w:pPr>
        <w:spacing w:line="360" w:lineRule="auto"/>
        <w:rPr>
          <w:rFonts w:ascii="Palatino Linotype" w:hAnsi="Palatino Linotype"/>
          <w:sz w:val="24"/>
          <w:szCs w:val="24"/>
        </w:rPr>
      </w:pPr>
      <w:r w:rsidRPr="00BB0BA5">
        <w:rPr>
          <w:rFonts w:ascii="Palatino Linotype" w:hAnsi="Palatino Linotype"/>
          <w:b/>
          <w:sz w:val="24"/>
          <w:szCs w:val="24"/>
        </w:rPr>
        <w:t>JGLH/</w:t>
      </w:r>
      <w:r w:rsidR="00D86555">
        <w:rPr>
          <w:rFonts w:ascii="Palatino Linotype" w:hAnsi="Palatino Linotype"/>
          <w:b/>
          <w:sz w:val="24"/>
          <w:szCs w:val="24"/>
        </w:rPr>
        <w:t>MPBR</w:t>
      </w:r>
      <w:r w:rsidR="00827A65" w:rsidRPr="00BB0BA5">
        <w:rPr>
          <w:rFonts w:ascii="Palatino Linotype" w:hAnsi="Palatino Linotype"/>
          <w:b/>
          <w:sz w:val="24"/>
          <w:szCs w:val="24"/>
        </w:rPr>
        <w:t>.</w:t>
      </w:r>
      <w:r w:rsidR="00796D90" w:rsidRPr="00BB0BA5">
        <w:rPr>
          <w:rFonts w:ascii="Palatino Linotype" w:hAnsi="Palatino Linotype"/>
          <w:b/>
          <w:sz w:val="24"/>
          <w:szCs w:val="24"/>
        </w:rPr>
        <w:t xml:space="preserve"> </w:t>
      </w:r>
      <w:r w:rsidR="00C1480F" w:rsidRPr="00BB0BA5">
        <w:rPr>
          <w:rFonts w:ascii="Palatino Linotype" w:hAnsi="Palatino Linotype"/>
          <w:b/>
          <w:sz w:val="24"/>
          <w:szCs w:val="24"/>
        </w:rPr>
        <w:t xml:space="preserve"> </w:t>
      </w:r>
    </w:p>
    <w:sectPr w:rsidR="00E940EB" w:rsidRPr="00BB0BA5" w:rsidSect="00AD4277">
      <w:headerReference w:type="even" r:id="rId14"/>
      <w:headerReference w:type="default" r:id="rId15"/>
      <w:footerReference w:type="default" r:id="rId16"/>
      <w:headerReference w:type="first" r:id="rId17"/>
      <w:pgSz w:w="12240" w:h="15840" w:code="1"/>
      <w:pgMar w:top="2495" w:right="1701" w:bottom="2495"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8BA" w:rsidRDefault="007778BA" w:rsidP="00DC559A">
      <w:pPr>
        <w:spacing w:after="0" w:line="240" w:lineRule="auto"/>
      </w:pPr>
      <w:r>
        <w:separator/>
      </w:r>
    </w:p>
  </w:endnote>
  <w:endnote w:type="continuationSeparator" w:id="0">
    <w:p w:rsidR="007778BA" w:rsidRDefault="007778BA" w:rsidP="00DC5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855158"/>
      <w:docPartObj>
        <w:docPartGallery w:val="Page Numbers (Bottom of Page)"/>
        <w:docPartUnique/>
      </w:docPartObj>
    </w:sdtPr>
    <w:sdtEndPr/>
    <w:sdtContent>
      <w:sdt>
        <w:sdtPr>
          <w:id w:val="-1769616900"/>
          <w:docPartObj>
            <w:docPartGallery w:val="Page Numbers (Top of Page)"/>
            <w:docPartUnique/>
          </w:docPartObj>
        </w:sdtPr>
        <w:sdtEndPr/>
        <w:sdtContent>
          <w:p w:rsidR="00AD4277" w:rsidRDefault="00AD42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D4B17">
              <w:rPr>
                <w:b/>
                <w:bCs/>
                <w:noProof/>
              </w:rPr>
              <w:t>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D4B17">
              <w:rPr>
                <w:b/>
                <w:bCs/>
                <w:noProof/>
              </w:rPr>
              <w:t>16</w:t>
            </w:r>
            <w:r>
              <w:rPr>
                <w:b/>
                <w:bCs/>
                <w:sz w:val="24"/>
                <w:szCs w:val="24"/>
              </w:rPr>
              <w:fldChar w:fldCharType="end"/>
            </w:r>
          </w:p>
        </w:sdtContent>
      </w:sdt>
    </w:sdtContent>
  </w:sdt>
  <w:p w:rsidR="00CD5D3B" w:rsidRDefault="00CD5D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8BA" w:rsidRDefault="007778BA" w:rsidP="00DC559A">
      <w:pPr>
        <w:spacing w:after="0" w:line="240" w:lineRule="auto"/>
      </w:pPr>
      <w:r>
        <w:separator/>
      </w:r>
    </w:p>
  </w:footnote>
  <w:footnote w:type="continuationSeparator" w:id="0">
    <w:p w:rsidR="007778BA" w:rsidRDefault="007778BA" w:rsidP="00DC559A">
      <w:pPr>
        <w:spacing w:after="0" w:line="240" w:lineRule="auto"/>
      </w:pPr>
      <w:r>
        <w:continuationSeparator/>
      </w:r>
    </w:p>
  </w:footnote>
  <w:footnote w:id="1">
    <w:p w:rsidR="00594D8C" w:rsidRPr="00FA14E5" w:rsidRDefault="00594D8C" w:rsidP="00594D8C">
      <w:pPr>
        <w:pStyle w:val="Textonotapie"/>
        <w:jc w:val="both"/>
        <w:rPr>
          <w:rFonts w:ascii="Arial" w:hAnsi="Arial" w:cs="Arial"/>
        </w:rPr>
      </w:pPr>
      <w:r w:rsidRPr="00FA14E5">
        <w:rPr>
          <w:rStyle w:val="Refdenotaalpie"/>
          <w:rFonts w:ascii="Arial" w:hAnsi="Arial" w:cs="Arial"/>
        </w:rPr>
        <w:footnoteRef/>
      </w:r>
      <w:r w:rsidRPr="00FA14E5">
        <w:rPr>
          <w:rFonts w:ascii="Arial" w:hAnsi="Arial" w:cs="Arial"/>
        </w:rPr>
        <w:t xml:space="preserve"> “Los derechos fundamentales, precisamente porque están igual garantizados para todos los sustraídos a la disponibilidad de del mercado y de la política, forman la esfera de lo indecidible que y de lo indecidible que no; y actúan como factores no solo de legitimación sino también y, sobre todo, como factores de deslegitimación de las decisiones y de las no-decisiones.” FERRAJOLI, Luigi, </w:t>
      </w:r>
      <w:r w:rsidRPr="00FA14E5">
        <w:rPr>
          <w:rFonts w:ascii="Arial" w:hAnsi="Arial" w:cs="Arial"/>
          <w:i/>
        </w:rPr>
        <w:t>Derechos y Garantías. La ley del más débil.</w:t>
      </w:r>
      <w:r w:rsidRPr="00FA14E5">
        <w:rPr>
          <w:rFonts w:ascii="Arial" w:hAnsi="Arial" w:cs="Arial"/>
        </w:rPr>
        <w:t xml:space="preserve"> Séptima edición, Madrid. Editorial Trotta, 2010. Pág. 24</w:t>
      </w:r>
    </w:p>
  </w:footnote>
  <w:footnote w:id="2">
    <w:p w:rsidR="00594D8C" w:rsidRPr="00FA14E5" w:rsidRDefault="00594D8C" w:rsidP="00594D8C">
      <w:pPr>
        <w:pStyle w:val="Textonotapie"/>
        <w:jc w:val="both"/>
        <w:rPr>
          <w:rFonts w:ascii="Arial" w:hAnsi="Arial" w:cs="Arial"/>
        </w:rPr>
      </w:pPr>
      <w:r w:rsidRPr="00FA14E5">
        <w:rPr>
          <w:rStyle w:val="Refdenotaalpie"/>
          <w:rFonts w:ascii="Arial" w:hAnsi="Arial" w:cs="Arial"/>
        </w:rPr>
        <w:footnoteRef/>
      </w:r>
      <w:r w:rsidRPr="00FA14E5">
        <w:rPr>
          <w:rFonts w:ascii="Arial" w:hAnsi="Arial" w:cs="Arial"/>
        </w:rPr>
        <w:t xml:space="preserve"> “Por lo tanto, los principios son mandatos de optimización, que se caracterizan porque pueden cumplirse en diferente grado y que la medida debida de su cumplimiento no sólo depende de las posibilidades reales sino también de las jurídicas”. Alexy, Robert. </w:t>
      </w:r>
      <w:r w:rsidRPr="000C14C0">
        <w:rPr>
          <w:rFonts w:ascii="Arial" w:hAnsi="Arial" w:cs="Arial"/>
          <w:i/>
        </w:rPr>
        <w:t>Teoría de los derechos fundamentales.</w:t>
      </w:r>
      <w:r w:rsidRPr="00FA14E5">
        <w:rPr>
          <w:rFonts w:ascii="Arial" w:hAnsi="Arial" w:cs="Arial"/>
        </w:rPr>
        <w:t xml:space="preserve"> Segunda edición, Madrid, Ed, Centro de Estudios Políticos y Constitucionales. 2014. Pág. 68.</w:t>
      </w:r>
    </w:p>
  </w:footnote>
  <w:footnote w:id="3">
    <w:p w:rsidR="00594D8C" w:rsidRDefault="00594D8C" w:rsidP="00594D8C">
      <w:pPr>
        <w:pStyle w:val="Textonotapie"/>
      </w:pPr>
      <w:r>
        <w:rPr>
          <w:rStyle w:val="Refdenotaalpie"/>
        </w:rPr>
        <w:footnoteRef/>
      </w:r>
      <w:r>
        <w:t xml:space="preserve"> Convención Americana sobre Derechos Humanos. Artículo 13.</w:t>
      </w:r>
    </w:p>
  </w:footnote>
  <w:footnote w:id="4">
    <w:p w:rsidR="00594D8C" w:rsidRDefault="00594D8C" w:rsidP="00594D8C">
      <w:pPr>
        <w:pStyle w:val="Textonotapie"/>
      </w:pPr>
      <w:r>
        <w:rPr>
          <w:rStyle w:val="Refdenotaalpie"/>
        </w:rPr>
        <w:footnoteRef/>
      </w:r>
      <w:r>
        <w:t xml:space="preserve"> Constitución Política de los Estados Unidos Mexicanos. Artículo sexto, sección A, Fracción I.</w:t>
      </w:r>
    </w:p>
  </w:footnote>
  <w:footnote w:id="5">
    <w:p w:rsidR="00594D8C" w:rsidRDefault="00594D8C" w:rsidP="00594D8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6">
    <w:p w:rsidR="00594D8C" w:rsidRDefault="00594D8C" w:rsidP="00594D8C">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7">
    <w:p w:rsidR="00594D8C" w:rsidRPr="00FA14E5" w:rsidRDefault="00594D8C" w:rsidP="00594D8C">
      <w:pPr>
        <w:pStyle w:val="Textonotapie"/>
        <w:jc w:val="both"/>
        <w:rPr>
          <w:rFonts w:ascii="Arial" w:hAnsi="Arial" w:cs="Arial"/>
        </w:rPr>
      </w:pPr>
      <w:r w:rsidRPr="00FA14E5">
        <w:rPr>
          <w:rStyle w:val="Refdenotaalpie"/>
          <w:rFonts w:ascii="Arial" w:hAnsi="Arial" w:cs="Arial"/>
        </w:rPr>
        <w:footnoteRef/>
      </w:r>
      <w:r w:rsidRPr="00FA14E5">
        <w:rPr>
          <w:rFonts w:ascii="Arial" w:hAnsi="Arial" w:cs="Arial"/>
        </w:rPr>
        <w:t xml:space="preserve"> FERRAJOLI, Luigi. </w:t>
      </w:r>
      <w:r w:rsidRPr="00FA14E5">
        <w:rPr>
          <w:rFonts w:ascii="Arial" w:hAnsi="Arial" w:cs="Arial"/>
          <w:i/>
        </w:rPr>
        <w:t>La democracia a través de los derechos., El constitucionalismo garantista como modelo teórico y como proyecto político.</w:t>
      </w:r>
      <w:r w:rsidRPr="00FA14E5">
        <w:rPr>
          <w:rFonts w:ascii="Arial" w:hAnsi="Arial" w:cs="Arial"/>
        </w:rPr>
        <w:t xml:space="preserve"> Madrid. Ed. Trotta, 2014.Pág. 62.</w:t>
      </w:r>
    </w:p>
  </w:footnote>
  <w:footnote w:id="8">
    <w:p w:rsidR="00594D8C" w:rsidRPr="00FA14E5" w:rsidRDefault="00594D8C" w:rsidP="00594D8C">
      <w:pPr>
        <w:pStyle w:val="Textonotapie"/>
        <w:jc w:val="both"/>
        <w:rPr>
          <w:rFonts w:ascii="Arial" w:hAnsi="Arial" w:cs="Arial"/>
        </w:rPr>
      </w:pPr>
      <w:r w:rsidRPr="00FA14E5">
        <w:rPr>
          <w:rStyle w:val="Refdenotaalpie"/>
          <w:rFonts w:ascii="Arial" w:hAnsi="Arial" w:cs="Arial"/>
        </w:rPr>
        <w:footnoteRef/>
      </w:r>
      <w:r w:rsidRPr="00FA14E5">
        <w:rPr>
          <w:rFonts w:ascii="Arial" w:hAnsi="Arial" w:cs="Arial"/>
        </w:rPr>
        <w:t xml:space="preserve"> FERRAJOLI, Luigi. </w:t>
      </w:r>
      <w:r w:rsidRPr="000C14C0">
        <w:rPr>
          <w:rFonts w:ascii="Arial" w:hAnsi="Arial" w:cs="Arial"/>
          <w:i/>
        </w:rPr>
        <w:t>Poderes salvajes. La crisis de la democracia constitucional.</w:t>
      </w:r>
      <w:r w:rsidRPr="00FA14E5">
        <w:rPr>
          <w:rFonts w:ascii="Arial" w:hAnsi="Arial" w:cs="Arial"/>
        </w:rPr>
        <w:t xml:space="preserve"> Segunda edición, Madrid. Ed. Mínima Trotta. 2011. Pág. 40.</w:t>
      </w:r>
    </w:p>
  </w:footnote>
  <w:footnote w:id="9">
    <w:p w:rsidR="00594D8C" w:rsidRPr="00FA14E5" w:rsidRDefault="00594D8C" w:rsidP="00594D8C">
      <w:pPr>
        <w:pStyle w:val="Textonotapie"/>
        <w:jc w:val="both"/>
        <w:rPr>
          <w:rFonts w:ascii="Arial" w:hAnsi="Arial" w:cs="Arial"/>
        </w:rPr>
      </w:pPr>
      <w:r w:rsidRPr="00FA14E5">
        <w:rPr>
          <w:rStyle w:val="Refdenotaalpie"/>
          <w:rFonts w:ascii="Arial" w:hAnsi="Arial" w:cs="Arial"/>
        </w:rPr>
        <w:footnoteRef/>
      </w:r>
      <w:r w:rsidRPr="00FA14E5">
        <w:rPr>
          <w:rFonts w:ascii="Arial" w:hAnsi="Arial" w:cs="Arial"/>
        </w:rPr>
        <w:t xml:space="preserve"> Comisión Interamericana de Derechos Humanos. Relatoría Especial para la Libertad de Expresión. El derecho de acceso a la información pública en el marco jurídico interamericano. 2ª. Edición, OEA, 2012. Párr. 29.</w:t>
      </w:r>
    </w:p>
  </w:footnote>
  <w:footnote w:id="10">
    <w:p w:rsidR="00594D8C" w:rsidRPr="00FA14E5" w:rsidRDefault="00594D8C" w:rsidP="00594D8C">
      <w:pPr>
        <w:pStyle w:val="Textonotapie"/>
        <w:jc w:val="both"/>
        <w:rPr>
          <w:rFonts w:ascii="Arial" w:hAnsi="Arial" w:cs="Arial"/>
        </w:rPr>
      </w:pPr>
      <w:r w:rsidRPr="00FA14E5">
        <w:rPr>
          <w:rStyle w:val="Refdenotaalpie"/>
          <w:rFonts w:ascii="Arial" w:hAnsi="Arial" w:cs="Arial"/>
        </w:rPr>
        <w:footnoteRef/>
      </w:r>
      <w:r w:rsidRPr="00FA14E5">
        <w:rPr>
          <w:rFonts w:ascii="Arial" w:hAnsi="Arial" w:cs="Arial"/>
        </w:rPr>
        <w:t xml:space="preserve"> Corte Interamericana de Derechos Humanos. Caso Claude Reyes y otros contra Chile. Sentencia de 19 de septiembre de 2006. Párrfs. 116-139.</w:t>
      </w:r>
    </w:p>
  </w:footnote>
  <w:footnote w:id="11">
    <w:p w:rsidR="00594D8C" w:rsidRPr="00FA14E5" w:rsidRDefault="00594D8C" w:rsidP="00594D8C">
      <w:pPr>
        <w:pStyle w:val="Textonotapie"/>
        <w:jc w:val="both"/>
        <w:rPr>
          <w:rFonts w:ascii="Arial" w:hAnsi="Arial" w:cs="Arial"/>
        </w:rPr>
      </w:pPr>
      <w:r w:rsidRPr="00FA14E5">
        <w:rPr>
          <w:rStyle w:val="Refdenotaalpie"/>
          <w:rFonts w:ascii="Arial" w:hAnsi="Arial" w:cs="Arial"/>
        </w:rPr>
        <w:footnoteRef/>
      </w:r>
      <w:r w:rsidRPr="00FA14E5">
        <w:rPr>
          <w:rFonts w:ascii="Arial" w:hAnsi="Arial" w:cs="Arial"/>
        </w:rPr>
        <w:t xml:space="preserve"> OPINIÓN PARTICULAR DEL COMISIONADO JOSÉ GUADALUPE LUNA HERNÁNDEZ EN EL RECURSO DE REVISIÓN 01750/INFOEM/IP/RR/2015 Y 01751/INFOEM/IP/RR/2015. Párr. 21.</w:t>
      </w:r>
    </w:p>
  </w:footnote>
  <w:footnote w:id="12">
    <w:p w:rsidR="00594D8C" w:rsidRPr="00FA14E5" w:rsidRDefault="00594D8C" w:rsidP="00594D8C">
      <w:pPr>
        <w:pStyle w:val="Textonotapie"/>
        <w:jc w:val="both"/>
        <w:rPr>
          <w:rFonts w:ascii="Arial" w:hAnsi="Arial" w:cs="Arial"/>
        </w:rPr>
      </w:pPr>
      <w:r w:rsidRPr="00FA14E5">
        <w:rPr>
          <w:rStyle w:val="Refdenotaalpie"/>
          <w:rFonts w:ascii="Arial" w:hAnsi="Arial" w:cs="Arial"/>
        </w:rPr>
        <w:footnoteRef/>
      </w:r>
      <w:r w:rsidRPr="00FA14E5">
        <w:rPr>
          <w:rFonts w:ascii="Arial" w:hAnsi="Arial" w:cs="Arial"/>
        </w:rPr>
        <w:t xml:space="preserve"> FERRAJOLI, Luigi. </w:t>
      </w:r>
      <w:r w:rsidRPr="00FA14E5">
        <w:rPr>
          <w:rFonts w:ascii="Arial" w:hAnsi="Arial" w:cs="Arial"/>
          <w:i/>
        </w:rPr>
        <w:t xml:space="preserve">La demo…cit. </w:t>
      </w:r>
      <w:r w:rsidRPr="00FA14E5">
        <w:rPr>
          <w:rFonts w:ascii="Arial" w:hAnsi="Arial" w:cs="Arial"/>
        </w:rPr>
        <w:t>Pág. 62.</w:t>
      </w:r>
    </w:p>
  </w:footnote>
  <w:footnote w:id="13">
    <w:p w:rsidR="00594D8C" w:rsidRPr="00FA14E5" w:rsidRDefault="00594D8C" w:rsidP="00594D8C">
      <w:pPr>
        <w:pStyle w:val="Textonotapie"/>
        <w:jc w:val="both"/>
        <w:rPr>
          <w:rFonts w:ascii="Arial" w:hAnsi="Arial" w:cs="Arial"/>
        </w:rPr>
      </w:pPr>
      <w:r w:rsidRPr="00FA14E5">
        <w:rPr>
          <w:rStyle w:val="Refdenotaalpie"/>
          <w:rFonts w:ascii="Arial" w:hAnsi="Arial" w:cs="Arial"/>
        </w:rPr>
        <w:footnoteRef/>
      </w:r>
      <w:r w:rsidRPr="00FA14E5">
        <w:rPr>
          <w:rFonts w:ascii="Arial" w:hAnsi="Arial" w:cs="Arial"/>
        </w:rPr>
        <w:t xml:space="preserve"> FERRAJOLI, Luigi. </w:t>
      </w:r>
      <w:r w:rsidRPr="00FA14E5">
        <w:rPr>
          <w:rFonts w:ascii="Arial" w:hAnsi="Arial" w:cs="Arial"/>
          <w:i/>
        </w:rPr>
        <w:t xml:space="preserve">Pode… cit. </w:t>
      </w:r>
      <w:r w:rsidRPr="00FA14E5">
        <w:rPr>
          <w:rFonts w:ascii="Arial" w:hAnsi="Arial" w:cs="Arial"/>
        </w:rPr>
        <w:t>Pág. 40.</w:t>
      </w:r>
    </w:p>
  </w:footnote>
  <w:footnote w:id="14">
    <w:p w:rsidR="00594D8C" w:rsidRPr="00FA14E5" w:rsidRDefault="00594D8C" w:rsidP="00594D8C">
      <w:pPr>
        <w:pStyle w:val="Textonotapie"/>
        <w:jc w:val="both"/>
        <w:rPr>
          <w:rFonts w:ascii="Arial" w:hAnsi="Arial" w:cs="Arial"/>
        </w:rPr>
      </w:pPr>
      <w:r w:rsidRPr="00FA14E5">
        <w:rPr>
          <w:rStyle w:val="Refdenotaalpie"/>
          <w:rFonts w:ascii="Arial" w:hAnsi="Arial" w:cs="Arial"/>
        </w:rPr>
        <w:footnoteRef/>
      </w:r>
      <w:r w:rsidRPr="00FA14E5">
        <w:rPr>
          <w:rFonts w:ascii="Arial" w:hAnsi="Arial" w:cs="Arial"/>
        </w:rPr>
        <w:t xml:space="preserve"> “120. Que el Estado debe adoptar, de acuerdo con el artículo 2 de la Convención, aquellas medidas de protección de los derechos humanos que aseguren el ejercicio libre y pleno de los derechos a la vida, la libertad e integridad personales y la protección y garantías judiciales, con el fin de evitar que ocurran en el futuro hechos lesivos como los del presente caso”. Corte Interamericana de Derechos Humanos. Caso Trujillo Oroza vs. Bolivia. Sentencia de 27 de febrero de 2002 (Reparaciones y Costas). Párr. 120.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D3B" w:rsidRDefault="000D4B1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5721407" o:spid="_x0000_s2049" type="#_x0000_t136" style="position:absolute;margin-left:0;margin-top:0;width:566.4pt;height:56.6pt;rotation:315;z-index:-251659264;mso-position-horizontal:center;mso-position-horizontal-relative:margin;mso-position-vertical:center;mso-position-vertical-relative:margin" o:allowincell="f" fillcolor="#747070 [1614]" stroked="f">
          <v:fill opacity=".5"/>
          <v:textpath style="font-family:&quot;Arial&quot;;font-size:1pt" string="OPINIÓN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D3B" w:rsidRDefault="000D4B1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5721408" o:spid="_x0000_s2050" type="#_x0000_t136" style="position:absolute;margin-left:0;margin-top:0;width:566.4pt;height:56.6pt;rotation:315;z-index:-251658240;mso-position-horizontal:center;mso-position-horizontal-relative:margin;mso-position-vertical:center;mso-position-vertical-relative:margin" o:allowincell="f" fillcolor="#747070 [1614]" stroked="f">
          <v:fill opacity=".5"/>
          <v:textpath style="font-family:&quot;Arial&quot;;font-size:1pt" string="OPINIÓN PARTICULAR"/>
          <w10:wrap anchorx="margin" anchory="margin"/>
        </v:shape>
      </w:pict>
    </w:r>
  </w:p>
  <w:p w:rsidR="00CD5D3B" w:rsidRDefault="00CD5D3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D3B" w:rsidRDefault="000D4B17">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5721406" o:spid="_x0000_s2051" type="#_x0000_t136" style="position:absolute;margin-left:0;margin-top:0;width:566.4pt;height:56.6pt;rotation:315;z-index:-251657216;mso-position-horizontal:center;mso-position-horizontal-relative:margin;mso-position-vertical:center;mso-position-vertical-relative:margin" o:allowincell="f" fillcolor="#747070 [1614]" stroked="f">
          <v:fill opacity=".5"/>
          <v:textpath style="font-family:&quot;Arial&quot;;font-size:1pt" string="OPINIÓN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54F02"/>
    <w:multiLevelType w:val="hybridMultilevel"/>
    <w:tmpl w:val="3ADC683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2C7196B"/>
    <w:multiLevelType w:val="hybridMultilevel"/>
    <w:tmpl w:val="3EBE61EA"/>
    <w:lvl w:ilvl="0" w:tplc="E2FA2E4C">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3107F3B"/>
    <w:multiLevelType w:val="hybridMultilevel"/>
    <w:tmpl w:val="30F812A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nsid w:val="15813181"/>
    <w:multiLevelType w:val="hybridMultilevel"/>
    <w:tmpl w:val="AC7A49E8"/>
    <w:lvl w:ilvl="0" w:tplc="1720976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A2657CE"/>
    <w:multiLevelType w:val="hybridMultilevel"/>
    <w:tmpl w:val="357E7638"/>
    <w:lvl w:ilvl="0" w:tplc="B7E079E8">
      <w:start w:val="1"/>
      <w:numFmt w:val="decimal"/>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EF669BF"/>
    <w:multiLevelType w:val="hybridMultilevel"/>
    <w:tmpl w:val="03D2F08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FE138AE"/>
    <w:multiLevelType w:val="hybridMultilevel"/>
    <w:tmpl w:val="7210662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31B94721"/>
    <w:multiLevelType w:val="hybridMultilevel"/>
    <w:tmpl w:val="54C22B9C"/>
    <w:lvl w:ilvl="0" w:tplc="7004A5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C3519E"/>
    <w:multiLevelType w:val="hybridMultilevel"/>
    <w:tmpl w:val="A484CBA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03E5810"/>
    <w:multiLevelType w:val="hybridMultilevel"/>
    <w:tmpl w:val="A23C67D2"/>
    <w:lvl w:ilvl="0" w:tplc="CACA3A86">
      <w:start w:val="1"/>
      <w:numFmt w:val="upperRoman"/>
      <w:lvlText w:val="%1."/>
      <w:lvlJc w:val="left"/>
      <w:pPr>
        <w:ind w:left="1004"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E346C9F"/>
    <w:multiLevelType w:val="hybridMultilevel"/>
    <w:tmpl w:val="2A6A7AE2"/>
    <w:lvl w:ilvl="0" w:tplc="C4D230D8">
      <w:start w:val="1"/>
      <w:numFmt w:val="decimal"/>
      <w:lvlText w:val="%1."/>
      <w:lvlJc w:val="left"/>
      <w:pPr>
        <w:ind w:left="360" w:hanging="360"/>
      </w:pPr>
      <w:rPr>
        <w:rFonts w:hint="default"/>
        <w:b/>
        <w:i w:val="0"/>
      </w:r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nsid w:val="4EB37200"/>
    <w:multiLevelType w:val="hybridMultilevel"/>
    <w:tmpl w:val="9B7C7D64"/>
    <w:lvl w:ilvl="0" w:tplc="3D0EBB94">
      <w:start w:val="4"/>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nsid w:val="536E79C8"/>
    <w:multiLevelType w:val="hybridMultilevel"/>
    <w:tmpl w:val="7D128702"/>
    <w:lvl w:ilvl="0" w:tplc="7EFE7F1A">
      <w:start w:val="1"/>
      <w:numFmt w:val="upperRoman"/>
      <w:lvlText w:val="%1."/>
      <w:lvlJc w:val="left"/>
      <w:pPr>
        <w:ind w:left="1080" w:hanging="720"/>
      </w:pPr>
      <w:rPr>
        <w:rFonts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6E85B75"/>
    <w:multiLevelType w:val="hybridMultilevel"/>
    <w:tmpl w:val="23803C5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nsid w:val="577202FA"/>
    <w:multiLevelType w:val="hybridMultilevel"/>
    <w:tmpl w:val="4B380CA8"/>
    <w:lvl w:ilvl="0" w:tplc="FE360A36">
      <w:start w:val="1"/>
      <w:numFmt w:val="decimal"/>
      <w:lvlText w:val="%1."/>
      <w:lvlJc w:val="left"/>
      <w:pPr>
        <w:ind w:left="360" w:hanging="360"/>
      </w:pPr>
      <w:rPr>
        <w:rFonts w:eastAsia="Times New Roman"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9">
    <w:nsid w:val="603C22D2"/>
    <w:multiLevelType w:val="hybridMultilevel"/>
    <w:tmpl w:val="8DB84A00"/>
    <w:lvl w:ilvl="0" w:tplc="F1DABF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2">
    <w:nsid w:val="6E62758E"/>
    <w:multiLevelType w:val="hybridMultilevel"/>
    <w:tmpl w:val="973074AC"/>
    <w:lvl w:ilvl="0" w:tplc="545A67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1360720"/>
    <w:multiLevelType w:val="hybridMultilevel"/>
    <w:tmpl w:val="ED2A17C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DA216E9"/>
    <w:multiLevelType w:val="hybridMultilevel"/>
    <w:tmpl w:val="4CAAA32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7"/>
  </w:num>
  <w:num w:numId="2">
    <w:abstractNumId w:val="0"/>
  </w:num>
  <w:num w:numId="3">
    <w:abstractNumId w:val="19"/>
  </w:num>
  <w:num w:numId="4">
    <w:abstractNumId w:val="9"/>
  </w:num>
  <w:num w:numId="5">
    <w:abstractNumId w:val="23"/>
  </w:num>
  <w:num w:numId="6">
    <w:abstractNumId w:val="10"/>
  </w:num>
  <w:num w:numId="7">
    <w:abstractNumId w:val="22"/>
  </w:num>
  <w:num w:numId="8">
    <w:abstractNumId w:val="12"/>
  </w:num>
  <w:num w:numId="9">
    <w:abstractNumId w:val="8"/>
  </w:num>
  <w:num w:numId="10">
    <w:abstractNumId w:val="21"/>
  </w:num>
  <w:num w:numId="11">
    <w:abstractNumId w:val="18"/>
  </w:num>
  <w:num w:numId="12">
    <w:abstractNumId w:val="20"/>
  </w:num>
  <w:num w:numId="13">
    <w:abstractNumId w:val="14"/>
  </w:num>
  <w:num w:numId="14">
    <w:abstractNumId w:val="3"/>
  </w:num>
  <w:num w:numId="15">
    <w:abstractNumId w:val="4"/>
  </w:num>
  <w:num w:numId="16">
    <w:abstractNumId w:val="2"/>
  </w:num>
  <w:num w:numId="17">
    <w:abstractNumId w:val="7"/>
  </w:num>
  <w:num w:numId="18">
    <w:abstractNumId w:val="15"/>
  </w:num>
  <w:num w:numId="19">
    <w:abstractNumId w:val="6"/>
  </w:num>
  <w:num w:numId="20">
    <w:abstractNumId w:val="1"/>
  </w:num>
  <w:num w:numId="21">
    <w:abstractNumId w:val="5"/>
  </w:num>
  <w:num w:numId="22">
    <w:abstractNumId w:val="24"/>
  </w:num>
  <w:num w:numId="23">
    <w:abstractNumId w:val="16"/>
  </w:num>
  <w:num w:numId="24">
    <w:abstractNumId w:val="1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59A"/>
    <w:rsid w:val="000052F9"/>
    <w:rsid w:val="00026199"/>
    <w:rsid w:val="0002684D"/>
    <w:rsid w:val="000538F8"/>
    <w:rsid w:val="000A41E3"/>
    <w:rsid w:val="000A6D35"/>
    <w:rsid w:val="000B3BA5"/>
    <w:rsid w:val="000C4F36"/>
    <w:rsid w:val="000C6478"/>
    <w:rsid w:val="000D4B17"/>
    <w:rsid w:val="000E54D5"/>
    <w:rsid w:val="000F4071"/>
    <w:rsid w:val="00112650"/>
    <w:rsid w:val="001305C0"/>
    <w:rsid w:val="00133E75"/>
    <w:rsid w:val="00142D5E"/>
    <w:rsid w:val="00196806"/>
    <w:rsid w:val="001A2574"/>
    <w:rsid w:val="001B6EF2"/>
    <w:rsid w:val="001B72BB"/>
    <w:rsid w:val="001B7E4C"/>
    <w:rsid w:val="001D4EE1"/>
    <w:rsid w:val="001D585E"/>
    <w:rsid w:val="0020160E"/>
    <w:rsid w:val="00211220"/>
    <w:rsid w:val="0021504B"/>
    <w:rsid w:val="0022566B"/>
    <w:rsid w:val="0022628C"/>
    <w:rsid w:val="00237242"/>
    <w:rsid w:val="00237B53"/>
    <w:rsid w:val="002948E5"/>
    <w:rsid w:val="002C6AFA"/>
    <w:rsid w:val="002D3591"/>
    <w:rsid w:val="002D65E0"/>
    <w:rsid w:val="002F65D3"/>
    <w:rsid w:val="002F7919"/>
    <w:rsid w:val="00303479"/>
    <w:rsid w:val="00312935"/>
    <w:rsid w:val="00321D9F"/>
    <w:rsid w:val="003277B6"/>
    <w:rsid w:val="00331425"/>
    <w:rsid w:val="00340794"/>
    <w:rsid w:val="0034151E"/>
    <w:rsid w:val="003546F8"/>
    <w:rsid w:val="0035555A"/>
    <w:rsid w:val="0036790A"/>
    <w:rsid w:val="00371359"/>
    <w:rsid w:val="003846D3"/>
    <w:rsid w:val="00385BD0"/>
    <w:rsid w:val="0038702C"/>
    <w:rsid w:val="0038705C"/>
    <w:rsid w:val="0039232D"/>
    <w:rsid w:val="003D62CE"/>
    <w:rsid w:val="003F1C1E"/>
    <w:rsid w:val="00406808"/>
    <w:rsid w:val="00421259"/>
    <w:rsid w:val="004334F6"/>
    <w:rsid w:val="004366D0"/>
    <w:rsid w:val="004534AD"/>
    <w:rsid w:val="00474F74"/>
    <w:rsid w:val="004759E5"/>
    <w:rsid w:val="004948E1"/>
    <w:rsid w:val="004A69D6"/>
    <w:rsid w:val="004B0AAB"/>
    <w:rsid w:val="004C224A"/>
    <w:rsid w:val="004C73FB"/>
    <w:rsid w:val="004E200C"/>
    <w:rsid w:val="00546620"/>
    <w:rsid w:val="00546D48"/>
    <w:rsid w:val="00585BED"/>
    <w:rsid w:val="00594D8C"/>
    <w:rsid w:val="005A0F99"/>
    <w:rsid w:val="005A4FE3"/>
    <w:rsid w:val="005B1F0E"/>
    <w:rsid w:val="005C12D7"/>
    <w:rsid w:val="005E32F3"/>
    <w:rsid w:val="0060068E"/>
    <w:rsid w:val="00672EA2"/>
    <w:rsid w:val="006978F4"/>
    <w:rsid w:val="006E20B1"/>
    <w:rsid w:val="006E7A8B"/>
    <w:rsid w:val="007040A4"/>
    <w:rsid w:val="007268BB"/>
    <w:rsid w:val="00752D72"/>
    <w:rsid w:val="007568D4"/>
    <w:rsid w:val="007638A8"/>
    <w:rsid w:val="007771A5"/>
    <w:rsid w:val="007778BA"/>
    <w:rsid w:val="00796D90"/>
    <w:rsid w:val="007C7C8A"/>
    <w:rsid w:val="007D3889"/>
    <w:rsid w:val="007D5A9C"/>
    <w:rsid w:val="007E0241"/>
    <w:rsid w:val="007E4DC7"/>
    <w:rsid w:val="007E7D9C"/>
    <w:rsid w:val="00805694"/>
    <w:rsid w:val="00810793"/>
    <w:rsid w:val="00812CE6"/>
    <w:rsid w:val="00822449"/>
    <w:rsid w:val="00827A65"/>
    <w:rsid w:val="008328F1"/>
    <w:rsid w:val="00835513"/>
    <w:rsid w:val="00836F58"/>
    <w:rsid w:val="00846DEB"/>
    <w:rsid w:val="00852A70"/>
    <w:rsid w:val="00872293"/>
    <w:rsid w:val="00872B2F"/>
    <w:rsid w:val="0088513A"/>
    <w:rsid w:val="00892C1A"/>
    <w:rsid w:val="00896191"/>
    <w:rsid w:val="008C70E5"/>
    <w:rsid w:val="008E6387"/>
    <w:rsid w:val="0094179B"/>
    <w:rsid w:val="00964B55"/>
    <w:rsid w:val="0096505A"/>
    <w:rsid w:val="00992F9E"/>
    <w:rsid w:val="009A28D2"/>
    <w:rsid w:val="009A6D3D"/>
    <w:rsid w:val="009B6AAE"/>
    <w:rsid w:val="009C259F"/>
    <w:rsid w:val="009D37EA"/>
    <w:rsid w:val="00A0438F"/>
    <w:rsid w:val="00A11153"/>
    <w:rsid w:val="00A309E7"/>
    <w:rsid w:val="00A4060C"/>
    <w:rsid w:val="00A44324"/>
    <w:rsid w:val="00A44948"/>
    <w:rsid w:val="00A50DC3"/>
    <w:rsid w:val="00A539E5"/>
    <w:rsid w:val="00A60047"/>
    <w:rsid w:val="00A947EF"/>
    <w:rsid w:val="00AA45BE"/>
    <w:rsid w:val="00AA54CD"/>
    <w:rsid w:val="00AA6E56"/>
    <w:rsid w:val="00AC07BB"/>
    <w:rsid w:val="00AD4277"/>
    <w:rsid w:val="00AE55C3"/>
    <w:rsid w:val="00AF6286"/>
    <w:rsid w:val="00B35DFF"/>
    <w:rsid w:val="00B43601"/>
    <w:rsid w:val="00B648EF"/>
    <w:rsid w:val="00B72BF7"/>
    <w:rsid w:val="00B75785"/>
    <w:rsid w:val="00B9066B"/>
    <w:rsid w:val="00BB0BA5"/>
    <w:rsid w:val="00BC5FB0"/>
    <w:rsid w:val="00BC6DFA"/>
    <w:rsid w:val="00BD2BE0"/>
    <w:rsid w:val="00BD2D4B"/>
    <w:rsid w:val="00BD49E0"/>
    <w:rsid w:val="00BD586B"/>
    <w:rsid w:val="00BE421D"/>
    <w:rsid w:val="00C01672"/>
    <w:rsid w:val="00C1480F"/>
    <w:rsid w:val="00C230CB"/>
    <w:rsid w:val="00CD5D3B"/>
    <w:rsid w:val="00CD7068"/>
    <w:rsid w:val="00CD77B9"/>
    <w:rsid w:val="00D00A71"/>
    <w:rsid w:val="00D04045"/>
    <w:rsid w:val="00D12CA6"/>
    <w:rsid w:val="00D24523"/>
    <w:rsid w:val="00D303BE"/>
    <w:rsid w:val="00D4328A"/>
    <w:rsid w:val="00D636BE"/>
    <w:rsid w:val="00D644F8"/>
    <w:rsid w:val="00D66AA4"/>
    <w:rsid w:val="00D7491C"/>
    <w:rsid w:val="00D86555"/>
    <w:rsid w:val="00DC559A"/>
    <w:rsid w:val="00DC69FA"/>
    <w:rsid w:val="00DF2A07"/>
    <w:rsid w:val="00E16BD8"/>
    <w:rsid w:val="00E2215E"/>
    <w:rsid w:val="00E42C33"/>
    <w:rsid w:val="00E4504F"/>
    <w:rsid w:val="00E52153"/>
    <w:rsid w:val="00E60410"/>
    <w:rsid w:val="00E6266F"/>
    <w:rsid w:val="00E70FAF"/>
    <w:rsid w:val="00E940EB"/>
    <w:rsid w:val="00E96644"/>
    <w:rsid w:val="00E974FA"/>
    <w:rsid w:val="00EC7F34"/>
    <w:rsid w:val="00F004EC"/>
    <w:rsid w:val="00F53C9F"/>
    <w:rsid w:val="00FA7788"/>
    <w:rsid w:val="00FE0B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23D5E5A-C5C6-41B8-AF29-6E6E03829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FE3"/>
  </w:style>
  <w:style w:type="paragraph" w:styleId="Ttulo1">
    <w:name w:val="heading 1"/>
    <w:basedOn w:val="Normal"/>
    <w:next w:val="Normal"/>
    <w:link w:val="Ttulo1Car"/>
    <w:uiPriority w:val="9"/>
    <w:qFormat/>
    <w:rsid w:val="00C230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A4F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305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559A"/>
    <w:pPr>
      <w:ind w:left="720"/>
      <w:contextualSpacing/>
    </w:pPr>
  </w:style>
  <w:style w:type="paragraph" w:styleId="Textonotapie">
    <w:name w:val="footnote text"/>
    <w:basedOn w:val="Normal"/>
    <w:link w:val="TextonotapieCar"/>
    <w:uiPriority w:val="99"/>
    <w:unhideWhenUsed/>
    <w:rsid w:val="00DC559A"/>
    <w:pPr>
      <w:spacing w:after="0" w:line="240" w:lineRule="auto"/>
    </w:pPr>
    <w:rPr>
      <w:sz w:val="20"/>
      <w:szCs w:val="20"/>
    </w:rPr>
  </w:style>
  <w:style w:type="character" w:customStyle="1" w:styleId="TextonotapieCar">
    <w:name w:val="Texto nota pie Car"/>
    <w:basedOn w:val="Fuentedeprrafopredeter"/>
    <w:link w:val="Textonotapie"/>
    <w:uiPriority w:val="99"/>
    <w:rsid w:val="00DC559A"/>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DC559A"/>
    <w:rPr>
      <w:vertAlign w:val="superscript"/>
    </w:rPr>
  </w:style>
  <w:style w:type="paragraph" w:styleId="Piedepgina">
    <w:name w:val="footer"/>
    <w:basedOn w:val="Normal"/>
    <w:link w:val="PiedepginaCar"/>
    <w:uiPriority w:val="99"/>
    <w:unhideWhenUsed/>
    <w:rsid w:val="00DC55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559A"/>
  </w:style>
  <w:style w:type="character" w:customStyle="1" w:styleId="PrrafodelistaCar">
    <w:name w:val="Párrafo de lista Car"/>
    <w:link w:val="Prrafodelista"/>
    <w:uiPriority w:val="34"/>
    <w:locked/>
    <w:rsid w:val="00DC559A"/>
  </w:style>
  <w:style w:type="paragraph" w:styleId="Encabezado">
    <w:name w:val="header"/>
    <w:basedOn w:val="Normal"/>
    <w:link w:val="EncabezadoCar"/>
    <w:uiPriority w:val="99"/>
    <w:unhideWhenUsed/>
    <w:rsid w:val="00DC55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559A"/>
  </w:style>
  <w:style w:type="paragraph" w:styleId="Sinespaciado">
    <w:name w:val="No Spacing"/>
    <w:uiPriority w:val="1"/>
    <w:qFormat/>
    <w:rsid w:val="00DC559A"/>
    <w:pPr>
      <w:spacing w:after="0" w:line="240" w:lineRule="auto"/>
    </w:pPr>
  </w:style>
  <w:style w:type="character" w:customStyle="1" w:styleId="Ttulo1Car">
    <w:name w:val="Título 1 Car"/>
    <w:basedOn w:val="Fuentedeprrafopredeter"/>
    <w:link w:val="Ttulo1"/>
    <w:uiPriority w:val="9"/>
    <w:rsid w:val="00C230CB"/>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585BED"/>
    <w:pPr>
      <w:outlineLvl w:val="9"/>
    </w:pPr>
    <w:rPr>
      <w:lang w:eastAsia="es-MX"/>
    </w:rPr>
  </w:style>
  <w:style w:type="paragraph" w:styleId="TDC1">
    <w:name w:val="toc 1"/>
    <w:basedOn w:val="Normal"/>
    <w:next w:val="Normal"/>
    <w:autoRedefine/>
    <w:uiPriority w:val="39"/>
    <w:unhideWhenUsed/>
    <w:rsid w:val="001305C0"/>
    <w:pPr>
      <w:tabs>
        <w:tab w:val="left" w:pos="660"/>
        <w:tab w:val="right" w:leader="dot" w:pos="8828"/>
      </w:tabs>
      <w:spacing w:after="100" w:line="360" w:lineRule="auto"/>
    </w:pPr>
  </w:style>
  <w:style w:type="character" w:styleId="Hipervnculo">
    <w:name w:val="Hyperlink"/>
    <w:basedOn w:val="Fuentedeprrafopredeter"/>
    <w:uiPriority w:val="99"/>
    <w:unhideWhenUsed/>
    <w:rsid w:val="00585BED"/>
    <w:rPr>
      <w:color w:val="0563C1" w:themeColor="hyperlink"/>
      <w:u w:val="single"/>
    </w:rPr>
  </w:style>
  <w:style w:type="paragraph" w:styleId="Textodeglobo">
    <w:name w:val="Balloon Text"/>
    <w:basedOn w:val="Normal"/>
    <w:link w:val="TextodegloboCar"/>
    <w:uiPriority w:val="99"/>
    <w:semiHidden/>
    <w:unhideWhenUsed/>
    <w:rsid w:val="00CD5D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5D3B"/>
    <w:rPr>
      <w:rFonts w:ascii="Segoe UI" w:hAnsi="Segoe UI" w:cs="Segoe UI"/>
      <w:sz w:val="18"/>
      <w:szCs w:val="18"/>
    </w:rPr>
  </w:style>
  <w:style w:type="table" w:styleId="Tablaconcuadrcula">
    <w:name w:val="Table Grid"/>
    <w:basedOn w:val="Tablanormal"/>
    <w:uiPriority w:val="39"/>
    <w:rsid w:val="005A4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
    <w:name w:val="j"/>
    <w:basedOn w:val="Normal"/>
    <w:rsid w:val="005A4FE3"/>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styleId="NormalWeb">
    <w:name w:val="Normal (Web)"/>
    <w:basedOn w:val="Normal"/>
    <w:uiPriority w:val="99"/>
    <w:unhideWhenUsed/>
    <w:rsid w:val="005A4FE3"/>
    <w:pPr>
      <w:spacing w:before="100" w:beforeAutospacing="1" w:after="100" w:afterAutospacing="1" w:line="240" w:lineRule="auto"/>
    </w:pPr>
    <w:rPr>
      <w:rFonts w:ascii="Times New Roman" w:hAnsi="Times New Roman" w:cs="Times New Roman"/>
      <w:sz w:val="24"/>
      <w:szCs w:val="24"/>
      <w:lang w:val="es-ES_tradnl" w:eastAsia="es-ES_tradnl"/>
    </w:rPr>
  </w:style>
  <w:style w:type="table" w:styleId="Tablanormal1">
    <w:name w:val="Plain Table 1"/>
    <w:basedOn w:val="Tablanormal"/>
    <w:uiPriority w:val="41"/>
    <w:rsid w:val="005A4FE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2Car">
    <w:name w:val="Título 2 Car"/>
    <w:basedOn w:val="Fuentedeprrafopredeter"/>
    <w:link w:val="Ttulo2"/>
    <w:uiPriority w:val="9"/>
    <w:rsid w:val="005A4FE3"/>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305C0"/>
    <w:rPr>
      <w:rFonts w:asciiTheme="majorHAnsi" w:eastAsiaTheme="majorEastAsia" w:hAnsiTheme="majorHAnsi" w:cstheme="majorBidi"/>
      <w:color w:val="1F4D78" w:themeColor="accent1" w:themeShade="7F"/>
      <w:sz w:val="24"/>
      <w:szCs w:val="24"/>
    </w:rPr>
  </w:style>
  <w:style w:type="paragraph" w:styleId="TDC2">
    <w:name w:val="toc 2"/>
    <w:basedOn w:val="Normal"/>
    <w:next w:val="Normal"/>
    <w:autoRedefine/>
    <w:uiPriority w:val="39"/>
    <w:unhideWhenUsed/>
    <w:rsid w:val="00312935"/>
    <w:pPr>
      <w:tabs>
        <w:tab w:val="left" w:pos="880"/>
        <w:tab w:val="right" w:leader="dot" w:pos="8828"/>
      </w:tabs>
      <w:spacing w:after="100"/>
      <w:ind w:left="220"/>
    </w:pPr>
    <w:rPr>
      <w:rFonts w:ascii="Palatino Linotype" w:hAnsi="Palatino Linotype"/>
      <w:b/>
      <w:noProof/>
      <w:sz w:val="20"/>
    </w:rPr>
  </w:style>
  <w:style w:type="paragraph" w:styleId="TDC3">
    <w:name w:val="toc 3"/>
    <w:basedOn w:val="Normal"/>
    <w:next w:val="Normal"/>
    <w:autoRedefine/>
    <w:uiPriority w:val="39"/>
    <w:unhideWhenUsed/>
    <w:rsid w:val="001305C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865720">
      <w:bodyDiv w:val="1"/>
      <w:marLeft w:val="0"/>
      <w:marRight w:val="0"/>
      <w:marTop w:val="0"/>
      <w:marBottom w:val="0"/>
      <w:divBdr>
        <w:top w:val="none" w:sz="0" w:space="0" w:color="auto"/>
        <w:left w:val="none" w:sz="0" w:space="0" w:color="auto"/>
        <w:bottom w:val="none" w:sz="0" w:space="0" w:color="auto"/>
        <w:right w:val="none" w:sz="0" w:space="0" w:color="auto"/>
      </w:divBdr>
    </w:div>
    <w:div w:id="58866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50100.page"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imex.org.mx/saimex/solicitud/downloadAttach/550237.pag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imex.org.mx/saimex/solicitud/downloadAttach/550099.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550237.page"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FD065-A808-41FC-A05E-104446680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2633</Words>
  <Characters>14482</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ALICE</Company>
  <LinksUpToDate>false</LinksUpToDate>
  <CharactersWithSpaces>17081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dc:creator>
  <cp:keywords/>
  <dc:description/>
  <cp:lastModifiedBy>USUARIO</cp:lastModifiedBy>
  <cp:revision>2</cp:revision>
  <cp:lastPrinted>2017-09-08T17:27:00Z</cp:lastPrinted>
  <dcterms:created xsi:type="dcterms:W3CDTF">2018-10-29T17:36:00Z</dcterms:created>
  <dcterms:modified xsi:type="dcterms:W3CDTF">2018-10-29T17:36:00Z</dcterms:modified>
</cp:coreProperties>
</file>